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media/image1.png" ContentType="image/png"/>
  <Override PartName="/word/document.xml" ContentType="application/vnd.openxmlformats-officedocument.wordprocessingml.document.main+xml"/>
  <Override PartName="/word/numbering.xml" ContentType="application/vnd.openxmlformats-officedocument.wordprocessingml.numbering+xml"/>
  <Override PartName="/word/footer1.xml" ContentType="application/vnd.openxmlformats-officedocument.wordprocessingml.footer+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spacing w:after="0" w:before="0" w:line="276" w:lineRule="auto"/>
        <w:contextualSpacing w:val="false"/>
        <w:jc w:val="center"/>
      </w:pPr>
      <w:r>
        <w:rPr/>
      </w:r>
    </w:p>
    <w:p>
      <w:pPr>
        <w:pStyle w:val="style0"/>
        <w:spacing w:after="0" w:before="0" w:line="276" w:lineRule="auto"/>
        <w:contextualSpacing w:val="false"/>
        <w:jc w:val="center"/>
      </w:pPr>
      <w:r>
        <w:rPr>
          <w:rStyle w:val="style47"/>
          <w:rFonts w:ascii="Times New Roman" w:cs="Times New Roman" w:hAnsi="Times New Roman"/>
          <w:b/>
          <w:color w:val="000000"/>
          <w:sz w:val="24"/>
          <w:szCs w:val="24"/>
        </w:rPr>
        <w:drawing>
          <wp:inline distB="0" distL="0" distR="0" distT="0">
            <wp:extent cx="720090" cy="779780"/>
            <wp:effectExtent b="0" l="0" r="0" t="0"/>
            <wp:docPr descr="" id="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 id="0" name="Picture"/>
                    <pic:cNvPicPr>
                      <a:picLocks noChangeArrowheads="1" noChangeAspect="1"/>
                    </pic:cNvPicPr>
                  </pic:nvPicPr>
                  <pic:blipFill>
                    <a:blip r:embed="rId2"/>
                    <a:srcRect/>
                    <a:stretch>
                      <a:fillRect/>
                    </a:stretch>
                  </pic:blipFill>
                  <pic:spPr bwMode="auto">
                    <a:xfrm>
                      <a:off x="0" y="0"/>
                      <a:ext cx="720090" cy="779780"/>
                    </a:xfrm>
                    <a:prstGeom prst="rect">
                      <a:avLst/>
                    </a:prstGeom>
                    <a:noFill/>
                    <a:ln w="9525">
                      <a:noFill/>
                      <a:miter lim="800000"/>
                      <a:headEnd/>
                      <a:tailEnd/>
                    </a:ln>
                  </pic:spPr>
                </pic:pic>
              </a:graphicData>
            </a:graphic>
          </wp:inline>
        </w:drawing>
      </w:r>
    </w:p>
    <w:p>
      <w:pPr>
        <w:pStyle w:val="style0"/>
      </w:pPr>
      <w:r>
        <w:rPr/>
      </w:r>
    </w:p>
    <w:p>
      <w:pPr>
        <w:pStyle w:val="style0"/>
        <w:spacing w:after="0" w:before="0" w:line="276" w:lineRule="auto"/>
        <w:contextualSpacing w:val="false"/>
        <w:jc w:val="center"/>
      </w:pPr>
      <w:r>
        <w:rPr>
          <w:rStyle w:val="style47"/>
          <w:rFonts w:ascii="Times New Roman" w:cs="Times New Roman" w:hAnsi="Times New Roman"/>
          <w:b/>
          <w:color w:val="000000"/>
          <w:sz w:val="24"/>
          <w:szCs w:val="24"/>
        </w:rPr>
        <w:t>MINISÉRIO DADEFESA</w:t>
      </w:r>
    </w:p>
    <w:p>
      <w:pPr>
        <w:pStyle w:val="style53"/>
        <w:spacing w:after="0" w:before="0"/>
        <w:contextualSpacing w:val="false"/>
        <w:jc w:val="center"/>
      </w:pPr>
      <w:r>
        <w:rPr>
          <w:rFonts w:ascii="Times New Roman" w:hAnsi="Times New Roman"/>
          <w:b/>
          <w:color w:val="000000"/>
          <w:sz w:val="24"/>
          <w:szCs w:val="24"/>
        </w:rPr>
        <w:t>EXÉRCITO BRASILEIRO</w:t>
      </w:r>
    </w:p>
    <w:p>
      <w:pPr>
        <w:pStyle w:val="style53"/>
        <w:spacing w:after="0" w:before="0"/>
        <w:contextualSpacing w:val="false"/>
        <w:jc w:val="center"/>
      </w:pPr>
      <w:r>
        <w:rPr>
          <w:rFonts w:ascii="Times New Roman" w:hAnsi="Times New Roman"/>
          <w:b/>
          <w:color w:val="000000"/>
          <w:sz w:val="24"/>
          <w:szCs w:val="24"/>
        </w:rPr>
        <w:t>2ª BRIGADA DE INFANTARIA DE SELVA</w:t>
      </w:r>
    </w:p>
    <w:p>
      <w:pPr>
        <w:pStyle w:val="style53"/>
        <w:spacing w:after="0" w:before="0"/>
        <w:contextualSpacing w:val="false"/>
        <w:jc w:val="center"/>
      </w:pPr>
      <w:r>
        <w:rPr>
          <w:rFonts w:ascii="Times New Roman" w:hAnsi="Times New Roman"/>
          <w:b/>
          <w:color w:val="000000"/>
          <w:sz w:val="24"/>
          <w:szCs w:val="24"/>
        </w:rPr>
        <w:t>(1ª Brigada Estratégica/1908)</w:t>
      </w:r>
    </w:p>
    <w:p>
      <w:pPr>
        <w:pStyle w:val="style0"/>
        <w:spacing w:after="0" w:before="0" w:line="276" w:lineRule="auto"/>
        <w:contextualSpacing w:val="false"/>
        <w:jc w:val="center"/>
      </w:pPr>
      <w:r>
        <w:rPr>
          <w:rStyle w:val="style47"/>
          <w:rFonts w:ascii="Times New Roman" w:cs="Arial" w:hAnsi="Times New Roman"/>
          <w:color w:val="000000"/>
          <w:sz w:val="24"/>
          <w:szCs w:val="24"/>
        </w:rPr>
        <w:t>“</w:t>
      </w:r>
      <w:r>
        <w:rPr>
          <w:rStyle w:val="style47"/>
          <w:rFonts w:ascii="Times New Roman" w:cs="Arial" w:hAnsi="Times New Roman"/>
          <w:b/>
          <w:color w:val="000000"/>
          <w:sz w:val="24"/>
          <w:szCs w:val="24"/>
        </w:rPr>
        <w:t>BRIGADA ARARARIGBOIA"</w:t>
      </w:r>
    </w:p>
    <w:p>
      <w:pPr>
        <w:pStyle w:val="style0"/>
        <w:spacing w:after="0" w:before="0" w:line="276" w:lineRule="auto"/>
        <w:contextualSpacing w:val="false"/>
        <w:jc w:val="center"/>
      </w:pPr>
      <w:r>
        <w:rPr>
          <w:rFonts w:ascii="Times New Roman" w:cs="Arial" w:hAnsi="Times New Roman"/>
          <w:color w:val="000000"/>
          <w:sz w:val="24"/>
          <w:szCs w:val="24"/>
        </w:rPr>
        <w:br/>
      </w:r>
      <w:r>
        <w:rPr>
          <w:rFonts w:ascii="Times New Roman" w:cs="Arial" w:hAnsi="Times New Roman"/>
          <w:b/>
          <w:bCs/>
          <w:i w:val="false"/>
          <w:iCs w:val="false"/>
          <w:color w:val="000000"/>
          <w:sz w:val="24"/>
          <w:szCs w:val="24"/>
        </w:rPr>
        <w:t>TERMO DE REFERÊNCIA – LEI 14.133/21</w:t>
      </w:r>
    </w:p>
    <w:p>
      <w:pPr>
        <w:pStyle w:val="style0"/>
        <w:spacing w:after="0" w:before="0" w:line="276" w:lineRule="auto"/>
        <w:contextualSpacing w:val="false"/>
        <w:jc w:val="center"/>
      </w:pPr>
      <w:r>
        <w:rPr>
          <w:rFonts w:ascii="Times New Roman" w:cs="Arial" w:hAnsi="Times New Roman"/>
          <w:b/>
          <w:bCs/>
          <w:i w:val="false"/>
          <w:iCs w:val="false"/>
          <w:color w:val="000000"/>
          <w:sz w:val="24"/>
          <w:szCs w:val="24"/>
        </w:rPr>
        <w:t>SERVIÇOS SEM DEDICAÇÃO EXCLUSIVA DE MÃO DE OBRA – CONTRATAÇÃO DIRETA</w:t>
      </w:r>
    </w:p>
    <w:p>
      <w:pPr>
        <w:pStyle w:val="style0"/>
        <w:spacing w:after="0" w:before="0" w:line="276" w:lineRule="auto"/>
        <w:contextualSpacing w:val="false"/>
        <w:jc w:val="center"/>
      </w:pPr>
      <w:r>
        <w:rPr>
          <w:rFonts w:ascii="Times New Roman" w:cs="Arial" w:hAnsi="Times New Roman"/>
          <w:b/>
          <w:bCs/>
          <w:i w:val="false"/>
          <w:iCs w:val="false"/>
          <w:color w:val="000000"/>
          <w:sz w:val="24"/>
          <w:szCs w:val="24"/>
        </w:rPr>
        <w:t>Processo Administrativo n. (</w:t>
      </w:r>
      <w:r>
        <w:rPr>
          <w:rFonts w:ascii="Times New Roman;serif" w:cs="Arial" w:hAnsi="Times New Roman;serif"/>
          <w:b/>
          <w:bCs/>
          <w:i w:val="false"/>
          <w:iCs w:val="false"/>
          <w:color w:val="000000"/>
          <w:sz w:val="24"/>
          <w:szCs w:val="24"/>
        </w:rPr>
        <w:t>64308.000062/2023-44</w:t>
      </w:r>
      <w:r>
        <w:rPr>
          <w:rFonts w:ascii="Times New Roman" w:cs="Arial" w:hAnsi="Times New Roman"/>
          <w:b/>
          <w:bCs/>
          <w:i w:val="false"/>
          <w:iCs w:val="false"/>
          <w:color w:val="000000"/>
          <w:sz w:val="24"/>
          <w:szCs w:val="24"/>
        </w:rPr>
        <w:t xml:space="preserve">) </w:t>
      </w:r>
    </w:p>
    <w:p>
      <w:pPr>
        <w:pStyle w:val="style0"/>
        <w:spacing w:after="0" w:before="0" w:line="276" w:lineRule="auto"/>
        <w:contextualSpacing w:val="false"/>
        <w:jc w:val="center"/>
      </w:pPr>
      <w:r>
        <w:rPr/>
      </w:r>
    </w:p>
    <w:p>
      <w:pPr>
        <w:pStyle w:val="style58"/>
        <w:numPr>
          <w:ilvl w:val="0"/>
          <w:numId w:val="2"/>
        </w:numPr>
      </w:pPr>
      <w:r>
        <w:rPr>
          <w:rFonts w:ascii="Times New Roman" w:hAnsi="Times New Roman"/>
          <w:i w:val="false"/>
          <w:iCs w:val="false"/>
          <w:sz w:val="24"/>
          <w:szCs w:val="24"/>
        </w:rPr>
        <w:t>DAS CONDIÇÕES GERAIS DA CONTRATAÇÃO (art. 6º, XXIII, “a” e “i” da Lei n. 14.133/2021).</w:t>
      </w:r>
    </w:p>
    <w:p>
      <w:pPr>
        <w:pStyle w:val="style58"/>
      </w:pPr>
      <w:r>
        <w:rPr>
          <w:rFonts w:ascii="Times New Roman" w:cs="Arial" w:hAnsi="Times New Roman"/>
          <w:b w:val="false"/>
          <w:bCs w:val="false"/>
          <w:i w:val="false"/>
          <w:iCs w:val="false"/>
          <w:sz w:val="24"/>
          <w:szCs w:val="24"/>
        </w:rPr>
        <w:t xml:space="preserve"> </w:t>
      </w:r>
      <w:r>
        <w:rPr>
          <w:rFonts w:ascii="Times New Roman" w:cs="Arial" w:hAnsi="Times New Roman"/>
          <w:b w:val="false"/>
          <w:bCs w:val="false"/>
          <w:i w:val="false"/>
          <w:iCs w:val="false"/>
          <w:sz w:val="24"/>
          <w:szCs w:val="24"/>
        </w:rPr>
        <w:t xml:space="preserve">1.1 </w:t>
      </w:r>
      <w:bookmarkStart w:id="0" w:name="__DdeLink__2605_2099164365"/>
      <w:r>
        <w:rPr>
          <w:rFonts w:ascii="Times New Roman" w:cs="Arial" w:hAnsi="Times New Roman"/>
          <w:b w:val="false"/>
          <w:bCs w:val="false"/>
          <w:i w:val="false"/>
          <w:iCs w:val="false"/>
          <w:sz w:val="24"/>
          <w:szCs w:val="24"/>
        </w:rPr>
        <w:t xml:space="preserve">Contratação de </w:t>
      </w:r>
      <w:r>
        <w:rPr>
          <w:rFonts w:ascii="Times New Roman" w:cs="Arial" w:hAnsi="Times New Roman"/>
          <w:b w:val="false"/>
          <w:bCs w:val="false"/>
          <w:i w:val="false"/>
          <w:iCs w:val="false"/>
          <w:color w:val="00000A"/>
          <w:sz w:val="24"/>
          <w:szCs w:val="24"/>
        </w:rPr>
        <w:t>S</w:t>
      </w:r>
      <w:r>
        <w:rPr>
          <w:rFonts w:ascii="Times New Roman;serif" w:cs="Arial" w:hAnsi="Times New Roman;serif"/>
          <w:b w:val="false"/>
          <w:bCs w:val="false"/>
          <w:i w:val="false"/>
          <w:iCs w:val="false"/>
          <w:color w:val="00000A"/>
          <w:sz w:val="24"/>
          <w:szCs w:val="24"/>
        </w:rPr>
        <w:t>Serviço com fornecimento de peças, componentes e acessórios,</w:t>
      </w:r>
      <w:r>
        <w:rPr>
          <w:rFonts w:ascii="Times New Roman" w:cs="Arial" w:hAnsi="Times New Roman"/>
          <w:b w:val="false"/>
          <w:bCs w:val="false"/>
          <w:i w:val="false"/>
          <w:iCs w:val="false"/>
          <w:color w:val="00000A"/>
          <w:sz w:val="24"/>
          <w:szCs w:val="24"/>
        </w:rPr>
        <w:t xml:space="preserve"> </w:t>
      </w:r>
      <w:r>
        <w:rPr>
          <w:rFonts w:ascii="Times New Roman;serif" w:cs="Arial" w:hAnsi="Times New Roman;serif"/>
          <w:b w:val="false"/>
          <w:bCs w:val="false"/>
          <w:i w:val="false"/>
          <w:iCs w:val="false"/>
          <w:color w:val="00000A"/>
          <w:sz w:val="24"/>
          <w:szCs w:val="24"/>
        </w:rPr>
        <w:t>de instalação de Sistema de Filtro para caixa d’água com vazão 1200 litros/hora</w:t>
      </w:r>
      <w:r>
        <w:rPr>
          <w:rFonts w:ascii="Times New Roman" w:cs="Arial" w:hAnsi="Times New Roman"/>
          <w:b w:val="false"/>
          <w:bCs w:val="false"/>
          <w:i w:val="false"/>
          <w:iCs w:val="false"/>
          <w:color w:val="00000A"/>
          <w:sz w:val="24"/>
          <w:szCs w:val="24"/>
        </w:rPr>
        <w:t>,</w:t>
      </w:r>
      <w:bookmarkEnd w:id="0"/>
      <w:r>
        <w:rPr>
          <w:rFonts w:ascii="Times New Roman" w:cs="Arial" w:hAnsi="Times New Roman"/>
          <w:b w:val="false"/>
          <w:bCs w:val="false"/>
          <w:i w:val="false"/>
          <w:iCs w:val="false"/>
          <w:sz w:val="24"/>
          <w:szCs w:val="24"/>
        </w:rPr>
        <w:t xml:space="preserve"> nos termos da tabela abaixo, conforme condições e exigências estabelecidas neste instrumento.</w:t>
      </w:r>
    </w:p>
    <w:p>
      <w:pPr>
        <w:pStyle w:val="style58"/>
      </w:pPr>
      <w:r>
        <w:rPr/>
      </w:r>
    </w:p>
    <w:tbl>
      <w:tblPr>
        <w:jc w:val="center"/>
        <w:tblBorders>
          <w:top w:color="000001" w:space="0" w:sz="4" w:val="single"/>
          <w:left w:color="000001" w:space="0" w:sz="4" w:val="single"/>
          <w:bottom w:color="000001" w:space="0" w:sz="4" w:val="single"/>
          <w:right w:color="000001" w:space="0" w:sz="4" w:val="single"/>
        </w:tblBorders>
      </w:tblPr>
      <w:tblGrid>
        <w:gridCol w:w="1085"/>
        <w:gridCol w:w="4649"/>
        <w:gridCol w:w="873"/>
        <w:gridCol w:w="955"/>
        <w:gridCol w:w="1185"/>
        <w:gridCol w:w="1604"/>
      </w:tblGrid>
      <w:tr>
        <w:trPr>
          <w:cantSplit w:val="false"/>
        </w:trPr>
        <w:tc>
          <w:tcPr>
            <w:tcW w:type="dxa" w:w="1085"/>
            <w:tcBorders>
              <w:top w:color="000001" w:space="0" w:sz="4" w:val="single"/>
              <w:left w:color="000001" w:space="0" w:sz="4" w:val="single"/>
              <w:bottom w:color="000001" w:space="0" w:sz="4" w:val="single"/>
              <w:right w:color="000001" w:space="0" w:sz="4" w:val="single"/>
            </w:tcBorders>
            <w:shd w:fill="FFFFFF" w:val="clear"/>
            <w:tcMar>
              <w:top w:type="dxa" w:w="0"/>
              <w:left w:type="dxa" w:w="108"/>
              <w:bottom w:type="dxa" w:w="0"/>
              <w:right w:type="dxa" w:w="108"/>
            </w:tcMar>
            <w:vAlign w:val="center"/>
          </w:tcPr>
          <w:p>
            <w:pPr>
              <w:pStyle w:val="style0"/>
              <w:widowControl w:val="false"/>
              <w:suppressAutoHyphens w:val="true"/>
              <w:jc w:val="center"/>
            </w:pPr>
            <w:r>
              <w:rPr>
                <w:rFonts w:cs="Times New Roman"/>
                <w:b/>
                <w:bCs/>
                <w:color w:val="000000"/>
                <w:sz w:val="24"/>
              </w:rPr>
              <w:t>ITEM</w:t>
            </w:r>
          </w:p>
          <w:p>
            <w:pPr>
              <w:pStyle w:val="style0"/>
            </w:pPr>
            <w:r>
              <w:rPr/>
            </w:r>
          </w:p>
        </w:tc>
        <w:tc>
          <w:tcPr>
            <w:tcW w:type="dxa" w:w="4649"/>
            <w:tcBorders>
              <w:top w:color="000001" w:space="0" w:sz="4" w:val="single"/>
              <w:left w:color="000001" w:space="0" w:sz="4" w:val="single"/>
              <w:bottom w:color="000001" w:space="0" w:sz="4" w:val="single"/>
              <w:right w:color="000001" w:space="0" w:sz="4" w:val="single"/>
            </w:tcBorders>
            <w:shd w:fill="FFFFFF" w:val="clear"/>
            <w:tcMar>
              <w:top w:type="dxa" w:w="0"/>
              <w:left w:type="dxa" w:w="108"/>
              <w:bottom w:type="dxa" w:w="0"/>
              <w:right w:type="dxa" w:w="108"/>
            </w:tcMar>
            <w:vAlign w:val="center"/>
          </w:tcPr>
          <w:p>
            <w:pPr>
              <w:pStyle w:val="style0"/>
              <w:jc w:val="center"/>
            </w:pPr>
            <w:r>
              <w:rPr>
                <w:rFonts w:cs="Times New Roman"/>
                <w:b/>
                <w:bCs/>
                <w:color w:val="000000"/>
                <w:sz w:val="24"/>
              </w:rPr>
              <w:t>DESCRIÇÃO</w:t>
            </w:r>
          </w:p>
        </w:tc>
        <w:tc>
          <w:tcPr>
            <w:tcW w:type="dxa" w:w="873"/>
            <w:tcBorders>
              <w:top w:color="000001" w:space="0" w:sz="4" w:val="single"/>
              <w:left w:color="000001" w:space="0" w:sz="4" w:val="single"/>
              <w:bottom w:color="000001" w:space="0" w:sz="4" w:val="single"/>
              <w:right w:color="000001" w:space="0" w:sz="4" w:val="single"/>
            </w:tcBorders>
            <w:shd w:fill="FFFFFF" w:val="clear"/>
            <w:tcMar>
              <w:top w:type="dxa" w:w="0"/>
              <w:left w:type="dxa" w:w="108"/>
              <w:bottom w:type="dxa" w:w="0"/>
              <w:right w:type="dxa" w:w="108"/>
            </w:tcMar>
            <w:vAlign w:val="center"/>
          </w:tcPr>
          <w:p>
            <w:pPr>
              <w:pStyle w:val="style0"/>
              <w:widowControl w:val="false"/>
              <w:suppressAutoHyphens w:val="true"/>
              <w:jc w:val="center"/>
            </w:pPr>
            <w:r>
              <w:rPr>
                <w:rFonts w:cs="Times New Roman"/>
                <w:b/>
                <w:bCs/>
                <w:color w:val="000000"/>
                <w:sz w:val="24"/>
              </w:rPr>
              <w:t>UND</w:t>
            </w:r>
          </w:p>
        </w:tc>
        <w:tc>
          <w:tcPr>
            <w:tcW w:type="dxa" w:w="955"/>
            <w:tcBorders>
              <w:top w:color="000001" w:space="0" w:sz="4" w:val="single"/>
              <w:left w:color="000001" w:space="0" w:sz="4" w:val="single"/>
              <w:bottom w:color="000001" w:space="0" w:sz="4" w:val="single"/>
              <w:right w:color="000001" w:space="0" w:sz="4" w:val="single"/>
            </w:tcBorders>
            <w:shd w:fill="FFFFFF" w:val="clear"/>
            <w:tcMar>
              <w:top w:type="dxa" w:w="0"/>
              <w:left w:type="dxa" w:w="108"/>
              <w:bottom w:type="dxa" w:w="0"/>
              <w:right w:type="dxa" w:w="108"/>
            </w:tcMar>
            <w:vAlign w:val="center"/>
          </w:tcPr>
          <w:p>
            <w:pPr>
              <w:pStyle w:val="style0"/>
              <w:widowControl w:val="false"/>
              <w:suppressAutoHyphens w:val="true"/>
              <w:jc w:val="center"/>
            </w:pPr>
            <w:r>
              <w:rPr>
                <w:rFonts w:cs="Times New Roman"/>
                <w:b/>
                <w:bCs/>
                <w:color w:val="000000"/>
                <w:sz w:val="24"/>
              </w:rPr>
              <w:t>QTD</w:t>
            </w:r>
          </w:p>
        </w:tc>
        <w:tc>
          <w:tcPr>
            <w:tcW w:type="dxa" w:w="1185"/>
            <w:tcBorders>
              <w:top w:color="000001" w:space="0" w:sz="4" w:val="single"/>
              <w:left w:color="000001" w:space="0" w:sz="4" w:val="single"/>
              <w:bottom w:color="000001" w:space="0" w:sz="4" w:val="single"/>
              <w:right w:color="000001" w:space="0" w:sz="4" w:val="single"/>
            </w:tcBorders>
            <w:shd w:fill="FFFFFF" w:val="clear"/>
            <w:tcMar>
              <w:top w:type="dxa" w:w="0"/>
              <w:left w:type="dxa" w:w="108"/>
              <w:bottom w:type="dxa" w:w="0"/>
              <w:right w:type="dxa" w:w="108"/>
            </w:tcMar>
            <w:vAlign w:val="center"/>
          </w:tcPr>
          <w:p>
            <w:pPr>
              <w:pStyle w:val="style0"/>
              <w:widowControl w:val="false"/>
              <w:suppressAutoHyphens w:val="true"/>
              <w:jc w:val="center"/>
            </w:pPr>
            <w:r>
              <w:rPr>
                <w:rFonts w:cs="Times New Roman"/>
                <w:b/>
                <w:bCs/>
                <w:color w:val="000000"/>
                <w:sz w:val="24"/>
              </w:rPr>
              <w:t>V. UNIT</w:t>
            </w:r>
          </w:p>
        </w:tc>
        <w:tc>
          <w:tcPr>
            <w:tcW w:type="dxa" w:w="1604"/>
            <w:tcBorders>
              <w:top w:color="000001" w:space="0" w:sz="4" w:val="single"/>
              <w:left w:color="000001" w:space="0" w:sz="4" w:val="single"/>
              <w:bottom w:color="000001" w:space="0" w:sz="4" w:val="single"/>
              <w:right w:color="000001" w:space="0" w:sz="4" w:val="single"/>
            </w:tcBorders>
            <w:shd w:fill="FFFFFF" w:val="clear"/>
            <w:tcMar>
              <w:top w:type="dxa" w:w="0"/>
              <w:left w:type="dxa" w:w="108"/>
              <w:bottom w:type="dxa" w:w="0"/>
              <w:right w:type="dxa" w:w="108"/>
            </w:tcMar>
            <w:vAlign w:val="center"/>
          </w:tcPr>
          <w:p>
            <w:pPr>
              <w:pStyle w:val="style0"/>
              <w:widowControl w:val="false"/>
              <w:suppressAutoHyphens w:val="true"/>
              <w:jc w:val="center"/>
            </w:pPr>
            <w:r>
              <w:rPr>
                <w:rFonts w:cs="Times New Roman"/>
                <w:b/>
                <w:bCs/>
                <w:color w:val="000000"/>
                <w:sz w:val="24"/>
              </w:rPr>
              <w:t>V. TOTAL</w:t>
            </w:r>
          </w:p>
        </w:tc>
      </w:tr>
      <w:tr>
        <w:trPr>
          <w:cantSplit w:val="false"/>
        </w:trPr>
        <w:tc>
          <w:tcPr>
            <w:tcW w:type="dxa" w:w="1085"/>
            <w:tcBorders>
              <w:top w:color="000001" w:space="0" w:sz="4" w:val="single"/>
              <w:left w:color="000001" w:space="0" w:sz="4" w:val="single"/>
              <w:bottom w:color="000001" w:space="0" w:sz="4" w:val="single"/>
              <w:right w:color="000001" w:space="0" w:sz="4" w:val="single"/>
            </w:tcBorders>
            <w:shd w:fill="FFFFFF" w:val="clear"/>
            <w:tcMar>
              <w:top w:type="dxa" w:w="0"/>
              <w:left w:type="dxa" w:w="108"/>
              <w:bottom w:type="dxa" w:w="0"/>
              <w:right w:type="dxa" w:w="108"/>
            </w:tcMar>
            <w:vAlign w:val="center"/>
          </w:tcPr>
          <w:p>
            <w:pPr>
              <w:pStyle w:val="style0"/>
              <w:widowControl w:val="false"/>
              <w:suppressAutoHyphens w:val="true"/>
              <w:spacing w:after="120" w:before="0" w:line="276" w:lineRule="auto"/>
              <w:contextualSpacing w:val="false"/>
              <w:jc w:val="center"/>
            </w:pPr>
            <w:r>
              <w:rPr>
                <w:rFonts w:cs="Times New Roman"/>
                <w:color w:val="000000"/>
                <w:sz w:val="20"/>
                <w:szCs w:val="20"/>
              </w:rPr>
              <w:t>01</w:t>
            </w:r>
          </w:p>
        </w:tc>
        <w:tc>
          <w:tcPr>
            <w:tcW w:type="dxa" w:w="4649"/>
            <w:tcBorders>
              <w:top w:color="000001" w:space="0" w:sz="4" w:val="single"/>
              <w:left w:color="000001" w:space="0" w:sz="4" w:val="single"/>
              <w:bottom w:color="000001" w:space="0" w:sz="4" w:val="single"/>
              <w:right w:color="000001" w:space="0" w:sz="4" w:val="single"/>
            </w:tcBorders>
            <w:shd w:fill="FFFFFF" w:val="clear"/>
            <w:tcMar>
              <w:top w:type="dxa" w:w="0"/>
              <w:left w:type="dxa" w:w="108"/>
              <w:bottom w:type="dxa" w:w="0"/>
              <w:right w:type="dxa" w:w="108"/>
            </w:tcMar>
            <w:vAlign w:val="bottom"/>
          </w:tcPr>
          <w:p>
            <w:pPr>
              <w:pStyle w:val="style53"/>
              <w:spacing w:after="120" w:before="0"/>
              <w:contextualSpacing w:val="false"/>
              <w:jc w:val="both"/>
            </w:pPr>
            <w:bookmarkStart w:id="1" w:name="__DdeLink__877_2103584644"/>
            <w:r>
              <w:rPr>
                <w:rFonts w:ascii="Times New Roman;serif" w:hAnsi="Times New Roman;serif"/>
                <w:color w:val="00000A"/>
                <w:sz w:val="24"/>
                <w:szCs w:val="24"/>
              </w:rPr>
              <w:t>Serviço com fornecimento de peças, componentes e acessórios,</w:t>
            </w:r>
            <w:r>
              <w:rPr>
                <w:color w:val="00000A"/>
                <w:sz w:val="24"/>
                <w:szCs w:val="24"/>
              </w:rPr>
              <w:t xml:space="preserve"> </w:t>
            </w:r>
            <w:r>
              <w:rPr>
                <w:rFonts w:ascii="Times New Roman;serif" w:hAnsi="Times New Roman;serif"/>
                <w:color w:val="00000A"/>
                <w:sz w:val="24"/>
                <w:szCs w:val="24"/>
              </w:rPr>
              <w:t>de instalação de Sistema de Filtro para caixa d’água com vazão 1200 litros/hora</w:t>
            </w:r>
            <w:bookmarkEnd w:id="1"/>
            <w:r>
              <w:rPr>
                <w:rFonts w:ascii="Times New Roman;serif" w:hAnsi="Times New Roman;serif"/>
                <w:color w:val="00000A"/>
                <w:sz w:val="24"/>
                <w:szCs w:val="24"/>
              </w:rPr>
              <w:t>. Retém sólidos e sedimentos suspensos na água. - Evita obstruções de válvulas e registros, entupimento dos bicos do chuveiro e reduz as incrustações na tubulação, estando inclusos a disponibilização por parte daquela contratada de todos os materiais e insumos necessários à respectiva prestação de serviço.</w:t>
            </w:r>
            <w:r>
              <w:rPr>
                <w:color w:val="00000A"/>
                <w:sz w:val="24"/>
                <w:szCs w:val="24"/>
              </w:rPr>
              <w:t xml:space="preserve"> </w:t>
            </w:r>
          </w:p>
        </w:tc>
        <w:tc>
          <w:tcPr>
            <w:tcW w:type="dxa" w:w="873"/>
            <w:tcBorders>
              <w:top w:color="000001" w:space="0" w:sz="4" w:val="single"/>
              <w:left w:color="000001" w:space="0" w:sz="4" w:val="single"/>
              <w:bottom w:color="000001" w:space="0" w:sz="4" w:val="single"/>
              <w:right w:color="000001" w:space="0" w:sz="4" w:val="single"/>
            </w:tcBorders>
            <w:shd w:fill="FFFFFF" w:val="clear"/>
            <w:tcMar>
              <w:top w:type="dxa" w:w="0"/>
              <w:left w:type="dxa" w:w="108"/>
              <w:bottom w:type="dxa" w:w="0"/>
              <w:right w:type="dxa" w:w="108"/>
            </w:tcMar>
            <w:vAlign w:val="center"/>
          </w:tcPr>
          <w:p>
            <w:pPr>
              <w:pStyle w:val="style0"/>
              <w:jc w:val="center"/>
            </w:pPr>
            <w:r>
              <w:rPr>
                <w:rFonts w:cs="Times New Roman"/>
              </w:rPr>
              <w:t>Sv</w:t>
            </w:r>
          </w:p>
        </w:tc>
        <w:tc>
          <w:tcPr>
            <w:tcW w:type="dxa" w:w="955"/>
            <w:tcBorders>
              <w:top w:color="000001" w:space="0" w:sz="4" w:val="single"/>
              <w:left w:color="000001" w:space="0" w:sz="4" w:val="single"/>
              <w:bottom w:color="000001" w:space="0" w:sz="4" w:val="single"/>
              <w:right w:color="000001" w:space="0" w:sz="4" w:val="single"/>
            </w:tcBorders>
            <w:shd w:fill="FFFFFF" w:val="clear"/>
            <w:tcMar>
              <w:top w:type="dxa" w:w="0"/>
              <w:left w:type="dxa" w:w="108"/>
              <w:bottom w:type="dxa" w:w="0"/>
              <w:right w:type="dxa" w:w="108"/>
            </w:tcMar>
            <w:vAlign w:val="center"/>
          </w:tcPr>
          <w:p>
            <w:pPr>
              <w:pStyle w:val="style0"/>
              <w:jc w:val="center"/>
            </w:pPr>
            <w:r>
              <w:rPr>
                <w:rFonts w:cs="Times New Roman"/>
                <w:b/>
              </w:rPr>
              <w:t>5</w:t>
            </w:r>
          </w:p>
        </w:tc>
        <w:tc>
          <w:tcPr>
            <w:tcW w:type="dxa" w:w="1185"/>
            <w:tcBorders>
              <w:top w:color="000001" w:space="0" w:sz="4" w:val="single"/>
              <w:left w:color="000001" w:space="0" w:sz="4" w:val="single"/>
              <w:bottom w:color="000001" w:space="0" w:sz="4" w:val="single"/>
              <w:right w:color="000001" w:space="0" w:sz="4" w:val="single"/>
            </w:tcBorders>
            <w:shd w:fill="FFFFFF" w:val="clear"/>
            <w:tcMar>
              <w:top w:type="dxa" w:w="0"/>
              <w:left w:type="dxa" w:w="108"/>
              <w:bottom w:type="dxa" w:w="0"/>
              <w:right w:type="dxa" w:w="108"/>
            </w:tcMar>
            <w:vAlign w:val="center"/>
          </w:tcPr>
          <w:p>
            <w:pPr>
              <w:pStyle w:val="style0"/>
              <w:tabs>
                <w:tab w:leader="none" w:pos="228" w:val="left"/>
              </w:tabs>
              <w:jc w:val="center"/>
            </w:pPr>
            <w:r>
              <w:rPr/>
              <w:t>R$ 300,00</w:t>
            </w:r>
          </w:p>
        </w:tc>
        <w:tc>
          <w:tcPr>
            <w:tcW w:type="dxa" w:w="1604"/>
            <w:tcBorders>
              <w:top w:color="000001" w:space="0" w:sz="4" w:val="single"/>
              <w:left w:color="000001" w:space="0" w:sz="4" w:val="single"/>
              <w:bottom w:color="000001" w:space="0" w:sz="4" w:val="single"/>
              <w:right w:color="000001" w:space="0" w:sz="4" w:val="single"/>
            </w:tcBorders>
            <w:shd w:fill="FFFFFF" w:val="clear"/>
            <w:tcMar>
              <w:top w:type="dxa" w:w="0"/>
              <w:left w:type="dxa" w:w="108"/>
              <w:bottom w:type="dxa" w:w="0"/>
              <w:right w:type="dxa" w:w="108"/>
            </w:tcMar>
            <w:vAlign w:val="center"/>
          </w:tcPr>
          <w:p>
            <w:pPr>
              <w:pStyle w:val="style0"/>
              <w:tabs>
                <w:tab w:leader="none" w:pos="228" w:val="left"/>
              </w:tabs>
              <w:jc w:val="center"/>
            </w:pPr>
            <w:r>
              <w:rPr/>
              <w:t>R$ 1.500,00</w:t>
            </w:r>
          </w:p>
        </w:tc>
      </w:tr>
    </w:tbl>
    <w:p>
      <w:pPr>
        <w:pStyle w:val="style0"/>
        <w:spacing w:after="0" w:before="0" w:line="276" w:lineRule="auto"/>
        <w:contextualSpacing/>
        <w:jc w:val="both"/>
      </w:pPr>
      <w:r>
        <w:rPr/>
      </w:r>
    </w:p>
    <w:p>
      <w:pPr>
        <w:pStyle w:val="style59"/>
        <w:spacing w:after="0" w:before="0" w:line="276" w:lineRule="auto"/>
        <w:ind w:hanging="0" w:left="0" w:right="0"/>
        <w:contextualSpacing/>
        <w:jc w:val="both"/>
      </w:pPr>
      <w:r>
        <w:rPr>
          <w:rFonts w:ascii="Times New Roman" w:cs="Arial" w:hAnsi="Times New Roman"/>
          <w:bCs/>
          <w:i w:val="false"/>
          <w:iCs w:val="false"/>
          <w:color w:val="00000A"/>
          <w:sz w:val="24"/>
          <w:szCs w:val="24"/>
        </w:rPr>
        <w:t xml:space="preserve">   </w:t>
      </w:r>
      <w:r>
        <w:rPr>
          <w:rFonts w:ascii="Times New Roman" w:cs="Arial" w:hAnsi="Times New Roman"/>
          <w:bCs/>
          <w:i w:val="false"/>
          <w:iCs w:val="false"/>
          <w:color w:val="00000A"/>
          <w:sz w:val="24"/>
          <w:szCs w:val="24"/>
        </w:rPr>
        <w:t>1.2 O prazo de vigência da contratação é de 30 dias contados da data de recebimento da nota de empenho para contratada, na forma do artigo 105 da Lei n° 14.133/2021.</w:t>
      </w:r>
    </w:p>
    <w:p>
      <w:pPr>
        <w:pStyle w:val="style59"/>
        <w:spacing w:after="0" w:before="0" w:line="276" w:lineRule="auto"/>
        <w:ind w:hanging="0" w:left="0" w:right="0"/>
        <w:contextualSpacing/>
        <w:jc w:val="both"/>
      </w:pPr>
      <w:r>
        <w:rPr/>
      </w:r>
    </w:p>
    <w:p>
      <w:pPr>
        <w:pStyle w:val="style59"/>
        <w:spacing w:after="0" w:before="0" w:line="276" w:lineRule="auto"/>
        <w:ind w:hanging="0" w:left="0" w:right="0"/>
        <w:contextualSpacing/>
        <w:jc w:val="both"/>
      </w:pPr>
      <w:r>
        <w:rPr/>
      </w:r>
    </w:p>
    <w:p>
      <w:pPr>
        <w:pStyle w:val="style59"/>
        <w:spacing w:after="0" w:before="0" w:line="276" w:lineRule="auto"/>
        <w:ind w:hanging="0" w:left="0" w:right="0"/>
        <w:contextualSpacing/>
        <w:jc w:val="both"/>
      </w:pPr>
      <w:r>
        <w:rPr>
          <w:rFonts w:ascii="Times New Roman" w:hAnsi="Times New Roman"/>
          <w:b/>
          <w:bCs/>
          <w:i w:val="false"/>
          <w:iCs w:val="false"/>
          <w:sz w:val="24"/>
          <w:szCs w:val="24"/>
        </w:rPr>
        <w:t xml:space="preserve">2. FUNDAMENTAÇÃO E DESCRIÇÃO DA NECESSIDADE DA CONTRATAÇÃO (art. 6º, inciso XXIII, alínea ‘b’ da Lei  14.133/2021). </w:t>
      </w:r>
    </w:p>
    <w:p>
      <w:pPr>
        <w:pStyle w:val="style59"/>
        <w:spacing w:after="0" w:before="0" w:line="276" w:lineRule="auto"/>
        <w:contextualSpacing/>
        <w:jc w:val="both"/>
      </w:pPr>
      <w:r>
        <w:rPr>
          <w:rFonts w:ascii="Times New Roman" w:cs="Arial" w:hAnsi="Times New Roman"/>
          <w:i w:val="false"/>
          <w:iCs w:val="false"/>
          <w:sz w:val="24"/>
          <w:szCs w:val="24"/>
        </w:rPr>
        <w:t>2.1A Fundamentação da Contratação e seus quantitativos encontram-se pormenorizada em Tópico específico dos Estudos Técnicos Preliminares, apêndice deste Termo de Referência.</w:t>
      </w:r>
    </w:p>
    <w:p>
      <w:pPr>
        <w:pStyle w:val="style58"/>
        <w:spacing w:after="0" w:before="0"/>
        <w:contextualSpacing w:val="false"/>
      </w:pPr>
      <w:r>
        <w:rPr>
          <w:rFonts w:ascii="Times New Roman" w:hAnsi="Times New Roman"/>
          <w:bCs/>
          <w:i w:val="false"/>
          <w:iCs w:val="false"/>
          <w:sz w:val="24"/>
          <w:szCs w:val="24"/>
        </w:rPr>
        <w:t>3. DESCRIÇÃO DA SOLUÇÃO COMO UM TODO CONSIDERADO O CICLO DE VIDA DO OBJETO (art. 6º, inciso XXIII, alínea ‘c’)</w:t>
      </w:r>
    </w:p>
    <w:p>
      <w:pPr>
        <w:pStyle w:val="style59"/>
      </w:pPr>
      <w:r>
        <w:rPr>
          <w:rFonts w:ascii="Times New Roman" w:cs="Arial" w:hAnsi="Times New Roman"/>
          <w:i w:val="false"/>
          <w:iCs w:val="false"/>
          <w:color w:val="00000A"/>
          <w:sz w:val="24"/>
          <w:szCs w:val="24"/>
        </w:rPr>
        <w:t>3.1A descrição da solução como um todo, encontra-se pormenorizada em tópico específico dos Estudos Técnicos Preliminares, apêndice deste Termo de Referência.</w:t>
      </w:r>
    </w:p>
    <w:p>
      <w:pPr>
        <w:pStyle w:val="style58"/>
        <w:spacing w:after="0" w:before="0"/>
        <w:contextualSpacing w:val="false"/>
      </w:pPr>
      <w:r>
        <w:rPr>
          <w:rFonts w:ascii="Times New Roman" w:hAnsi="Times New Roman"/>
          <w:bCs/>
          <w:i w:val="false"/>
          <w:iCs w:val="false"/>
          <w:sz w:val="24"/>
          <w:szCs w:val="24"/>
        </w:rPr>
        <w:t>4. REQUISITOS DA CONTRATAÇÃO (art. 6º, XXIII, alínea ‘d’ da Lei nº 14.133/21)</w:t>
      </w:r>
    </w:p>
    <w:p>
      <w:pPr>
        <w:pStyle w:val="style0"/>
      </w:pPr>
      <w:r>
        <w:rPr/>
      </w:r>
    </w:p>
    <w:p>
      <w:pPr>
        <w:pStyle w:val="style59"/>
        <w:spacing w:after="0" w:before="0" w:line="276" w:lineRule="auto"/>
        <w:contextualSpacing/>
        <w:jc w:val="both"/>
      </w:pPr>
      <w:r>
        <w:rPr>
          <w:rFonts w:ascii="Times New Roman" w:cs="Arial" w:hAnsi="Times New Roman"/>
          <w:i w:val="false"/>
          <w:iCs w:val="false"/>
          <w:sz w:val="24"/>
          <w:szCs w:val="24"/>
        </w:rPr>
        <w:t xml:space="preserve"> </w:t>
      </w:r>
      <w:r>
        <w:rPr>
          <w:rFonts w:ascii="Times New Roman" w:cs="Arial" w:hAnsi="Times New Roman"/>
          <w:i w:val="false"/>
          <w:iCs w:val="false"/>
          <w:sz w:val="24"/>
          <w:szCs w:val="24"/>
        </w:rPr>
        <w:t>4.1</w:t>
      </w:r>
      <w:r>
        <w:rPr>
          <w:rFonts w:ascii="Times New Roman" w:cs="Arial" w:hAnsi="Times New Roman"/>
          <w:i w:val="false"/>
          <w:iCs w:val="false"/>
          <w:caps w:val="false"/>
          <w:smallCaps w:val="false"/>
          <w:color w:val="00000A"/>
          <w:sz w:val="24"/>
          <w:szCs w:val="24"/>
        </w:rPr>
        <w:t xml:space="preserve"> </w:t>
      </w:r>
      <w:r>
        <w:rPr>
          <w:rFonts w:ascii="Times New Roman" w:cs="Arial" w:hAnsi="Times New Roman"/>
          <w:i w:val="false"/>
          <w:iCs w:val="false"/>
          <w:color w:val="00000A"/>
          <w:sz w:val="24"/>
          <w:szCs w:val="24"/>
        </w:rPr>
        <w:t>CRITÉRIOS DE SUSTENTABILIDADE</w:t>
      </w:r>
    </w:p>
    <w:p>
      <w:pPr>
        <w:pStyle w:val="style53"/>
        <w:spacing w:after="113" w:before="0"/>
        <w:ind w:hanging="0" w:left="930" w:right="0"/>
        <w:contextualSpacing w:val="false"/>
        <w:jc w:val="both"/>
      </w:pPr>
      <w:r>
        <w:rPr>
          <w:rFonts w:ascii="Times New Roman" w:hAnsi="Times New Roman"/>
          <w:i w:val="false"/>
          <w:iCs w:val="false"/>
          <w:sz w:val="24"/>
          <w:szCs w:val="24"/>
        </w:rPr>
        <w:t>4.1.1Os critérios de sustentabilidade são aqueles previstos nas especificações do objeto e/ou obrigações da contratada e/ou no edital como requisito previsto em lei especial</w:t>
      </w:r>
    </w:p>
    <w:p>
      <w:pPr>
        <w:pStyle w:val="style53"/>
        <w:spacing w:after="113" w:before="113"/>
        <w:ind w:hanging="0" w:left="397" w:right="0"/>
        <w:contextualSpacing w:val="false"/>
        <w:jc w:val="both"/>
      </w:pPr>
      <w:r>
        <w:rPr>
          <w:rFonts w:ascii="Times New Roman" w:hAnsi="Times New Roman"/>
          <w:i w:val="false"/>
          <w:iCs w:val="false"/>
          <w:color w:val="000000"/>
          <w:sz w:val="24"/>
          <w:szCs w:val="24"/>
        </w:rPr>
        <w:t>4.2 Os serviços a serem prestados pelo adjudicatário deverá(ão) atender, no que for aplicável, às disposições de sustentabilidade ambiental estabelecidas no art. 4º, do Decreto Nº 7.746, de 5 de junho de 2012, na Instrução Normativa n° 1, de 19 de janeiro de 2010, da Secretaria de Logística e Tecnologia da Informação do Ministério do Planejamento, Orçamento e Gestão e, ainda, ao constante do Guia Nacional de Contratações Sustentáveis, da Câmara Nacional de Sustentabilidade – CNS/DECOR/CGU/AGU, 3ª Ed., ABR/20. Portanto, para a presente aquisição deverão ser adotadas as seguintes diretrizes de sustentabilidade ambiental:</w:t>
      </w:r>
    </w:p>
    <w:p>
      <w:pPr>
        <w:pStyle w:val="style53"/>
        <w:spacing w:after="113" w:before="0"/>
        <w:ind w:hanging="0" w:left="397" w:right="0"/>
        <w:contextualSpacing w:val="false"/>
      </w:pPr>
      <w:r>
        <w:rPr>
          <w:rFonts w:ascii="Times New Roman" w:hAnsi="Times New Roman"/>
          <w:b/>
          <w:i w:val="false"/>
          <w:iCs w:val="false"/>
          <w:color w:val="000000"/>
          <w:sz w:val="24"/>
          <w:szCs w:val="24"/>
        </w:rPr>
        <w:t>4.2.1</w:t>
      </w:r>
      <w:r>
        <w:rPr>
          <w:rFonts w:ascii="Times New Roman" w:hAnsi="Times New Roman"/>
          <w:i w:val="false"/>
          <w:iCs w:val="false"/>
          <w:color w:val="000000"/>
          <w:sz w:val="24"/>
          <w:szCs w:val="24"/>
        </w:rPr>
        <w:t xml:space="preserve"> menor impacto sobre recursos naturais como flora, fauna, ar, solo e água;</w:t>
      </w:r>
    </w:p>
    <w:p>
      <w:pPr>
        <w:pStyle w:val="style53"/>
        <w:spacing w:after="113" w:before="0"/>
        <w:ind w:hanging="0" w:left="397" w:right="0"/>
        <w:contextualSpacing w:val="false"/>
      </w:pPr>
      <w:r>
        <w:rPr>
          <w:rFonts w:ascii="Times New Roman" w:hAnsi="Times New Roman"/>
          <w:b/>
          <w:i w:val="false"/>
          <w:iCs w:val="false"/>
          <w:color w:val="000000"/>
          <w:sz w:val="24"/>
          <w:szCs w:val="24"/>
        </w:rPr>
        <w:t>4.2.2.</w:t>
      </w:r>
      <w:r>
        <w:rPr>
          <w:rFonts w:ascii="Times New Roman" w:hAnsi="Times New Roman"/>
          <w:i w:val="false"/>
          <w:iCs w:val="false"/>
          <w:color w:val="000000"/>
          <w:sz w:val="24"/>
          <w:szCs w:val="24"/>
        </w:rPr>
        <w:t xml:space="preserve"> preferência para materiais, tecnologias e matérias-primas de origem local;</w:t>
      </w:r>
    </w:p>
    <w:p>
      <w:pPr>
        <w:pStyle w:val="style53"/>
        <w:spacing w:after="113" w:before="0"/>
        <w:ind w:hanging="0" w:left="397" w:right="0"/>
        <w:contextualSpacing w:val="false"/>
      </w:pPr>
      <w:r>
        <w:rPr>
          <w:rFonts w:ascii="Times New Roman" w:hAnsi="Times New Roman"/>
          <w:b/>
          <w:i w:val="false"/>
          <w:iCs w:val="false"/>
          <w:color w:val="000000"/>
          <w:sz w:val="24"/>
          <w:szCs w:val="24"/>
        </w:rPr>
        <w:t>4.2.3.</w:t>
      </w:r>
      <w:r>
        <w:rPr>
          <w:rFonts w:ascii="Times New Roman" w:hAnsi="Times New Roman"/>
          <w:i w:val="false"/>
          <w:iCs w:val="false"/>
          <w:color w:val="000000"/>
          <w:sz w:val="24"/>
          <w:szCs w:val="24"/>
        </w:rPr>
        <w:t xml:space="preserve"> maior eficiência na utilização de recursos naturais como água e energia;</w:t>
      </w:r>
    </w:p>
    <w:p>
      <w:pPr>
        <w:pStyle w:val="style53"/>
        <w:spacing w:after="113" w:before="0"/>
        <w:ind w:hanging="0" w:left="397" w:right="0"/>
        <w:contextualSpacing w:val="false"/>
      </w:pPr>
      <w:r>
        <w:rPr>
          <w:rFonts w:ascii="Times New Roman" w:hAnsi="Times New Roman"/>
          <w:b/>
          <w:i w:val="false"/>
          <w:iCs w:val="false"/>
          <w:color w:val="000000"/>
          <w:sz w:val="24"/>
          <w:szCs w:val="24"/>
        </w:rPr>
        <w:t>4.2.4.</w:t>
      </w:r>
      <w:r>
        <w:rPr>
          <w:rFonts w:ascii="Times New Roman" w:hAnsi="Times New Roman"/>
          <w:i w:val="false"/>
          <w:iCs w:val="false"/>
          <w:color w:val="000000"/>
          <w:sz w:val="24"/>
          <w:szCs w:val="24"/>
        </w:rPr>
        <w:t xml:space="preserve"> maior geração de empregos, preferencialmente com mão de obra local;</w:t>
      </w:r>
    </w:p>
    <w:p>
      <w:pPr>
        <w:pStyle w:val="style53"/>
        <w:spacing w:after="113" w:before="0"/>
        <w:ind w:hanging="0" w:left="397" w:right="0"/>
        <w:contextualSpacing w:val="false"/>
      </w:pPr>
      <w:r>
        <w:rPr>
          <w:rFonts w:ascii="Times New Roman" w:hAnsi="Times New Roman"/>
          <w:b/>
          <w:i w:val="false"/>
          <w:iCs w:val="false"/>
          <w:color w:val="000000"/>
          <w:sz w:val="24"/>
          <w:szCs w:val="24"/>
        </w:rPr>
        <w:t>4.2.5.</w:t>
      </w:r>
      <w:r>
        <w:rPr>
          <w:rFonts w:ascii="Times New Roman" w:hAnsi="Times New Roman"/>
          <w:i w:val="false"/>
          <w:iCs w:val="false"/>
          <w:color w:val="000000"/>
          <w:sz w:val="24"/>
          <w:szCs w:val="24"/>
        </w:rPr>
        <w:t xml:space="preserve"> uso de inovações que reduzam a pressão sobre recursos naturais; e</w:t>
      </w:r>
    </w:p>
    <w:p>
      <w:pPr>
        <w:pStyle w:val="style53"/>
        <w:spacing w:after="113" w:before="0"/>
        <w:ind w:hanging="0" w:left="397" w:right="0"/>
        <w:contextualSpacing w:val="false"/>
      </w:pPr>
      <w:r>
        <w:rPr>
          <w:rFonts w:ascii="Times New Roman" w:hAnsi="Times New Roman"/>
          <w:b/>
          <w:i w:val="false"/>
          <w:iCs w:val="false"/>
          <w:color w:val="000000"/>
          <w:sz w:val="24"/>
          <w:szCs w:val="24"/>
        </w:rPr>
        <w:t>4.2.6.</w:t>
      </w:r>
      <w:r>
        <w:rPr>
          <w:rFonts w:ascii="Times New Roman" w:hAnsi="Times New Roman"/>
          <w:i w:val="false"/>
          <w:iCs w:val="false"/>
          <w:color w:val="000000"/>
          <w:sz w:val="24"/>
          <w:szCs w:val="24"/>
        </w:rPr>
        <w:t xml:space="preserve"> origem ambientalmente regular dos recursos naturais utilizados nos bens e serviços.</w:t>
      </w:r>
      <w:r>
        <w:rPr>
          <w:rFonts w:ascii="Times New Roman" w:hAnsi="Times New Roman"/>
          <w:sz w:val="24"/>
          <w:szCs w:val="24"/>
        </w:rPr>
        <w:t xml:space="preserve"> </w:t>
      </w:r>
    </w:p>
    <w:p>
      <w:pPr>
        <w:pStyle w:val="style59"/>
        <w:spacing w:after="0" w:before="0" w:line="276" w:lineRule="auto"/>
        <w:contextualSpacing/>
        <w:jc w:val="both"/>
      </w:pPr>
      <w:r>
        <w:rPr>
          <w:rFonts w:ascii="Times New Roman" w:cs="Arial" w:hAnsi="Times New Roman"/>
          <w:i w:val="false"/>
          <w:iCs w:val="false"/>
          <w:color w:val="00000A"/>
          <w:sz w:val="24"/>
          <w:szCs w:val="24"/>
        </w:rPr>
        <w:t>4.3 Não será admitida a subcontratação do objeto contratual.</w:t>
      </w:r>
      <w:r>
        <w:rPr>
          <w:rFonts w:ascii="Times New Roman" w:cs="Arial" w:hAnsi="Times New Roman"/>
          <w:i w:val="false"/>
          <w:iCs w:val="false"/>
          <w:sz w:val="24"/>
          <w:szCs w:val="24"/>
        </w:rPr>
        <w:t xml:space="preserve"> </w:t>
      </w:r>
    </w:p>
    <w:p>
      <w:pPr>
        <w:pStyle w:val="style59"/>
        <w:spacing w:after="0" w:before="0" w:line="276" w:lineRule="auto"/>
        <w:contextualSpacing/>
        <w:jc w:val="both"/>
      </w:pPr>
      <w:r>
        <w:rPr>
          <w:rFonts w:ascii="Times New Roman" w:cs="Arial" w:hAnsi="Times New Roman"/>
          <w:i w:val="false"/>
          <w:iCs w:val="false"/>
          <w:color w:val="00000A"/>
          <w:sz w:val="24"/>
          <w:szCs w:val="24"/>
        </w:rPr>
        <w:t>4.4 Não haverá exigência da garantia da contratação dos arts. 96 e seguintes da Lei nº 14.133/21, pelas razões abaixo justificadas:</w:t>
      </w:r>
    </w:p>
    <w:p>
      <w:pPr>
        <w:pStyle w:val="style59"/>
        <w:spacing w:after="0" w:before="0" w:line="276" w:lineRule="auto"/>
        <w:contextualSpacing/>
        <w:jc w:val="both"/>
      </w:pPr>
      <w:r>
        <w:rPr>
          <w:rFonts w:ascii="Times New Roman" w:cs="Arial" w:hAnsi="Times New Roman"/>
          <w:i w:val="false"/>
          <w:iCs w:val="false"/>
          <w:color w:val="00000A"/>
          <w:sz w:val="24"/>
          <w:szCs w:val="24"/>
        </w:rPr>
        <w:t>4.5 O Contratado deverá realizar a transição contratual com transferência de conhecimento, tecnologia e técnicas empregadas, sem perda de informações, podendo exigir, inclusive, a capacitação dos técnicos do contratante ou da nova empresa que continuará a execução dos serviços.</w:t>
      </w:r>
    </w:p>
    <w:p>
      <w:pPr>
        <w:pStyle w:val="style59"/>
        <w:spacing w:after="0" w:before="0" w:line="276" w:lineRule="auto"/>
        <w:contextualSpacing/>
        <w:jc w:val="both"/>
      </w:pPr>
      <w:r>
        <w:rPr/>
      </w:r>
    </w:p>
    <w:p>
      <w:pPr>
        <w:pStyle w:val="style58"/>
        <w:spacing w:after="0" w:before="0"/>
        <w:contextualSpacing w:val="false"/>
      </w:pPr>
      <w:r>
        <w:rPr>
          <w:rFonts w:ascii="Times New Roman" w:hAnsi="Times New Roman"/>
          <w:i w:val="false"/>
          <w:iCs w:val="false"/>
          <w:color w:val="00000A"/>
          <w:sz w:val="24"/>
          <w:szCs w:val="24"/>
        </w:rPr>
        <w:t xml:space="preserve">   </w:t>
      </w:r>
      <w:r>
        <w:rPr>
          <w:rFonts w:ascii="Times New Roman" w:hAnsi="Times New Roman"/>
          <w:i w:val="false"/>
          <w:iCs w:val="false"/>
          <w:color w:val="00000A"/>
          <w:sz w:val="24"/>
          <w:szCs w:val="24"/>
        </w:rPr>
        <w:t>5. VISTORIA</w:t>
      </w:r>
    </w:p>
    <w:p>
      <w:pPr>
        <w:pStyle w:val="style59"/>
        <w:suppressAutoHyphens w:val="true"/>
        <w:spacing w:after="120" w:before="0" w:line="100" w:lineRule="atLeast"/>
        <w:ind w:hanging="0" w:left="716" w:right="0"/>
        <w:contextualSpacing/>
        <w:jc w:val="both"/>
      </w:pPr>
      <w:r>
        <w:rPr/>
      </w:r>
    </w:p>
    <w:p>
      <w:pPr>
        <w:pStyle w:val="style59"/>
        <w:spacing w:line="276" w:lineRule="auto"/>
        <w:jc w:val="both"/>
      </w:pPr>
      <w:r>
        <w:rPr>
          <w:rFonts w:ascii="Times New Roman" w:cs="Arial" w:hAnsi="Times New Roman"/>
          <w:i w:val="false"/>
          <w:iCs w:val="false"/>
          <w:color w:val="00000A"/>
          <w:sz w:val="24"/>
          <w:szCs w:val="24"/>
        </w:rPr>
        <w:t>5.1 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0800 horas às 1130. horas.  </w:t>
      </w:r>
    </w:p>
    <w:p>
      <w:pPr>
        <w:pStyle w:val="style59"/>
        <w:spacing w:line="276" w:lineRule="auto"/>
      </w:pPr>
      <w:r>
        <w:rPr>
          <w:rFonts w:ascii="Times New Roman" w:cs="Arial" w:hAnsi="Times New Roman"/>
          <w:i w:val="false"/>
          <w:iCs w:val="false"/>
          <w:color w:val="00000A"/>
          <w:sz w:val="24"/>
          <w:szCs w:val="24"/>
        </w:rPr>
        <w:t>5.2 Serão disponibilizados data e horário diferentes aos interessados em realizar a vistoria prévia. </w:t>
      </w:r>
    </w:p>
    <w:p>
      <w:pPr>
        <w:pStyle w:val="style79"/>
        <w:tabs/>
        <w:spacing w:after="0" w:before="120"/>
        <w:ind w:hanging="432" w:left="669" w:right="0"/>
        <w:contextualSpacing w:val="false"/>
      </w:pPr>
      <w:r>
        <w:rPr>
          <w:rFonts w:ascii="Times New Roman" w:cs="Calibri" w:hAnsi="Times New Roman"/>
          <w:i w:val="false"/>
          <w:iCs w:val="false"/>
          <w:color w:val="00000A"/>
          <w:sz w:val="24"/>
          <w:szCs w:val="24"/>
          <w:lang w:eastAsia="en-US"/>
        </w:rPr>
        <w:t xml:space="preserve">       </w:t>
      </w:r>
      <w:r>
        <w:rPr>
          <w:rFonts w:ascii="Times New Roman" w:cs="Calibri" w:hAnsi="Times New Roman"/>
          <w:i w:val="false"/>
          <w:iCs w:val="false"/>
          <w:color w:val="00000A"/>
          <w:sz w:val="24"/>
          <w:szCs w:val="24"/>
          <w:lang w:eastAsia="en-US"/>
        </w:rPr>
        <w:t xml:space="preserve">5.3Para a vistoria, o representante legal da empresa ou responsável técnico deverá estar devidamente identificado, apresentando documento de identidade civil e documento expedido pela empresa comprovando sua habilitação para a realização da vistoria. </w:t>
      </w:r>
    </w:p>
    <w:p>
      <w:pPr>
        <w:pStyle w:val="style79"/>
        <w:tabs/>
        <w:ind w:hanging="432" w:left="651" w:right="0"/>
      </w:pPr>
      <w:r>
        <w:rPr>
          <w:rFonts w:ascii="Times New Roman" w:cs="Calibri" w:hAnsi="Times New Roman"/>
          <w:i w:val="false"/>
          <w:iCs w:val="false"/>
          <w:color w:val="00000A"/>
          <w:sz w:val="24"/>
          <w:szCs w:val="24"/>
          <w:lang w:eastAsia="en-US"/>
        </w:rPr>
        <w:t xml:space="preserve">    </w:t>
      </w:r>
      <w:r>
        <w:rPr>
          <w:rFonts w:ascii="Times New Roman" w:cs="Calibri" w:hAnsi="Times New Roman"/>
          <w:i w:val="false"/>
          <w:iCs w:val="false"/>
          <w:color w:val="00000A"/>
          <w:sz w:val="24"/>
          <w:szCs w:val="24"/>
          <w:lang w:eastAsia="en-US"/>
        </w:rPr>
        <w:t>5.4 A não realização da vistoria não poderá embasar posteriores alegações de desconhecimento das instalações, dúvidas ou esquecimentos de quaisquer detalhes dos locais da prestação dos serviços, devendo o contratado assumir os ônus dos serviços decorrentes.</w:t>
      </w:r>
    </w:p>
    <w:p>
      <w:pPr>
        <w:pStyle w:val="style58"/>
        <w:spacing w:after="0" w:before="0"/>
        <w:ind w:hanging="0" w:left="0" w:right="0"/>
        <w:contextualSpacing w:val="false"/>
      </w:pPr>
      <w:r>
        <w:rPr/>
      </w:r>
    </w:p>
    <w:p>
      <w:pPr>
        <w:pStyle w:val="style58"/>
        <w:spacing w:after="0" w:before="0"/>
        <w:contextualSpacing w:val="false"/>
      </w:pPr>
      <w:r>
        <w:rPr>
          <w:rFonts w:ascii="Times New Roman" w:hAnsi="Times New Roman"/>
          <w:i w:val="false"/>
          <w:iCs w:val="false"/>
          <w:sz w:val="24"/>
          <w:szCs w:val="24"/>
        </w:rPr>
        <w:t>6. MODELO DE EXECUÇÃO CONTRATUAL (arts. 6º, XXIII, alínea “e” da Lei n. 14.133/2021).</w:t>
      </w:r>
    </w:p>
    <w:p>
      <w:pPr>
        <w:pStyle w:val="style0"/>
      </w:pPr>
      <w:r>
        <w:rPr/>
      </w:r>
    </w:p>
    <w:p>
      <w:pPr>
        <w:pStyle w:val="style71"/>
        <w:spacing w:after="0" w:before="0"/>
        <w:contextualSpacing w:val="false"/>
      </w:pPr>
      <w:r>
        <w:rPr>
          <w:rFonts w:ascii="Times New Roman" w:hAnsi="Times New Roman"/>
          <w:i w:val="false"/>
          <w:iCs w:val="false"/>
          <w:color w:val="00000A"/>
          <w:sz w:val="24"/>
          <w:szCs w:val="24"/>
        </w:rPr>
        <w:t xml:space="preserve">6.1 O prazo de execução dos serviços será de </w:t>
      </w:r>
      <w:r>
        <w:rPr>
          <w:rFonts w:ascii="Times New Roman" w:cs="Arial" w:hAnsi="Times New Roman"/>
          <w:bCs/>
          <w:i w:val="false"/>
          <w:iCs w:val="false"/>
          <w:color w:val="00000A"/>
          <w:sz w:val="24"/>
          <w:szCs w:val="24"/>
        </w:rPr>
        <w:t>30 dias contados da data de recebimento da nota de empenho para contratada.</w:t>
      </w:r>
    </w:p>
    <w:p>
      <w:pPr>
        <w:pStyle w:val="style0"/>
        <w:spacing w:after="0" w:before="28" w:line="100" w:lineRule="atLeast"/>
        <w:contextualSpacing w:val="false"/>
        <w:jc w:val="both"/>
      </w:pPr>
      <w:r>
        <w:rPr>
          <w:rFonts w:ascii="Times New Roman" w:cs="Times New Roman" w:eastAsia="Times New Roman" w:hAnsi="Times New Roman"/>
          <w:bCs/>
          <w:i w:val="false"/>
          <w:iCs w:val="false"/>
          <w:color w:val="00000A"/>
          <w:sz w:val="24"/>
          <w:szCs w:val="24"/>
          <w:lang w:eastAsia="pt-BR"/>
        </w:rPr>
        <w:t xml:space="preserve">6.2 Os serviços serão prestados no seguinte endereço: </w:t>
      </w:r>
      <w:r>
        <w:rPr>
          <w:rFonts w:ascii="Times New Roman" w:cs="Times New Roman" w:eastAsia="Times New Roman" w:hAnsi="Times New Roman"/>
          <w:bCs/>
          <w:i w:val="false"/>
          <w:iCs w:val="false"/>
          <w:color w:val="00000A"/>
          <w:sz w:val="24"/>
          <w:szCs w:val="24"/>
          <w:lang w:eastAsia="pt-BR"/>
        </w:rPr>
        <w:t>Setor de Aprovisionamento</w:t>
      </w:r>
      <w:r>
        <w:rPr>
          <w:rFonts w:ascii="Times New Roman" w:cs="Times New Roman" w:eastAsia="Times New Roman" w:hAnsi="Times New Roman"/>
          <w:bCs/>
          <w:i w:val="false"/>
          <w:iCs w:val="false"/>
          <w:color w:val="00000A"/>
          <w:sz w:val="24"/>
          <w:szCs w:val="24"/>
          <w:lang w:eastAsia="pt-BR"/>
        </w:rPr>
        <w:t xml:space="preserve"> do Comando da 2ª Brigada de Infantaria de Selva, sitio na Área Militar CapNobuo Oba, s/n°, Bairro Cachoeirinha, CEP: 69750-000, São Gabriel da Cachoeira-AM.</w:t>
      </w:r>
    </w:p>
    <w:p>
      <w:pPr>
        <w:pStyle w:val="style71"/>
        <w:spacing w:after="0" w:before="0"/>
        <w:ind w:hanging="0" w:left="851" w:right="0"/>
        <w:contextualSpacing w:val="false"/>
      </w:pPr>
      <w:r>
        <w:rPr/>
      </w:r>
    </w:p>
    <w:p>
      <w:pPr>
        <w:pStyle w:val="style71"/>
        <w:spacing w:after="0" w:before="0"/>
        <w:ind w:hanging="432" w:left="284" w:right="0"/>
        <w:contextualSpacing w:val="false"/>
      </w:pPr>
      <w:r>
        <w:rPr/>
      </w:r>
    </w:p>
    <w:p>
      <w:pPr>
        <w:pStyle w:val="style0"/>
        <w:keepNext/>
        <w:keepLines/>
        <w:tabs>
          <w:tab w:leader="none" w:pos="360" w:val="left"/>
        </w:tabs>
        <w:spacing w:after="0" w:before="0" w:line="276" w:lineRule="auto"/>
        <w:ind w:hanging="36" w:left="0" w:right="0"/>
        <w:contextualSpacing w:val="false"/>
        <w:jc w:val="both"/>
      </w:pPr>
      <w:r>
        <w:rPr>
          <w:rFonts w:ascii="Times New Roman" w:cs="Arial" w:eastAsia="Times New Roman" w:hAnsi="Times New Roman"/>
          <w:b/>
          <w:i w:val="false"/>
          <w:iCs w:val="false"/>
          <w:color w:val="000000"/>
          <w:sz w:val="24"/>
          <w:szCs w:val="24"/>
        </w:rPr>
        <w:t>7. MODELO DE GESTÃO DO CONTRATO (art. 6º, XXIII, alínea “f” da Lei nº 14.133/21)</w:t>
      </w:r>
    </w:p>
    <w:p>
      <w:pPr>
        <w:pStyle w:val="style0"/>
        <w:spacing w:after="0" w:before="0" w:line="276" w:lineRule="auto"/>
        <w:contextualSpacing w:val="false"/>
        <w:jc w:val="both"/>
      </w:pPr>
      <w:r>
        <w:rPr/>
      </w:r>
    </w:p>
    <w:p>
      <w:pPr>
        <w:pStyle w:val="style0"/>
        <w:spacing w:after="0" w:before="0" w:line="276" w:lineRule="auto"/>
        <w:contextualSpacing w:val="false"/>
        <w:jc w:val="both"/>
      </w:pPr>
      <w:r>
        <w:rPr>
          <w:rFonts w:ascii="Times New Roman" w:cs="Arial" w:hAnsi="Times New Roman"/>
          <w:b w:val="false"/>
          <w:bCs w:val="false"/>
          <w:i w:val="false"/>
          <w:iCs w:val="false"/>
          <w:sz w:val="24"/>
          <w:szCs w:val="24"/>
        </w:rPr>
        <w:t>7.1 Rotinas De Fiscalização Contratual</w:t>
      </w:r>
    </w:p>
    <w:p>
      <w:pPr>
        <w:pStyle w:val="style0"/>
        <w:spacing w:after="0" w:before="0" w:line="276" w:lineRule="auto"/>
        <w:ind w:hanging="0" w:left="930" w:right="0"/>
        <w:contextualSpacing w:val="false"/>
        <w:jc w:val="both"/>
      </w:pPr>
      <w:r>
        <w:rPr/>
      </w:r>
    </w:p>
    <w:p>
      <w:pPr>
        <w:pStyle w:val="style0"/>
        <w:spacing w:after="0" w:before="0" w:line="276" w:lineRule="auto"/>
        <w:contextualSpacing w:val="false"/>
        <w:jc w:val="both"/>
      </w:pPr>
      <w:r>
        <w:rPr>
          <w:rFonts w:ascii="Times New Roman" w:cs="Arial" w:hAnsi="Times New Roman"/>
          <w:i w:val="false"/>
          <w:iCs w:val="false"/>
          <w:sz w:val="24"/>
          <w:szCs w:val="24"/>
        </w:rPr>
        <w:t>7.1.1 O contrato deverá ser executado fielmente pelas partes, de acordo com as cláusulas avençadas e as normas da Lei nº 14.133, de 2021, e cada parte responderá pelas consequências de sua inexecução total ou parcial (Lei nº 14.133/2021, art. 115, caput).</w:t>
      </w:r>
    </w:p>
    <w:p>
      <w:pPr>
        <w:pStyle w:val="style0"/>
        <w:spacing w:after="0" w:before="0" w:line="276" w:lineRule="auto"/>
        <w:contextualSpacing w:val="false"/>
        <w:jc w:val="both"/>
      </w:pPr>
      <w:r>
        <w:rPr>
          <w:rFonts w:ascii="Times New Roman" w:cs="Arial" w:hAnsi="Times New Roman"/>
          <w:i w:val="false"/>
          <w:iCs w:val="false"/>
          <w:sz w:val="24"/>
          <w:szCs w:val="24"/>
        </w:rPr>
        <w:t>7.1.2 Em caso de impedimento, ordem de paralisação ou suspensão do contrato, o cronograma de execução será prorrogado automaticamente pelo tempo correspondente, anotadas tais circunstâncias mediante simples apostila (Lei nº 14.133/2021, art. 115, §5º).</w:t>
      </w:r>
    </w:p>
    <w:p>
      <w:pPr>
        <w:pStyle w:val="style0"/>
        <w:spacing w:after="0" w:before="0" w:line="276" w:lineRule="auto"/>
        <w:contextualSpacing w:val="false"/>
        <w:jc w:val="both"/>
      </w:pPr>
      <w:r>
        <w:rPr>
          <w:rFonts w:ascii="Times New Roman" w:cs="Arial" w:hAnsi="Times New Roman"/>
          <w:i w:val="false"/>
          <w:iCs w:val="false"/>
          <w:sz w:val="24"/>
          <w:szCs w:val="24"/>
        </w:rPr>
        <w:t>7.1.3 A execução do contrato deverá ser acompanhada e fiscalizada pelo(s) fiscal(is) do contrato, ou pelos respectivos substitutos (Lei nº 14.133/2021, art. 117, caput).</w:t>
      </w:r>
    </w:p>
    <w:p>
      <w:pPr>
        <w:pStyle w:val="style0"/>
        <w:tabs>
          <w:tab w:leader="none" w:pos="708" w:val="left"/>
        </w:tabs>
        <w:spacing w:after="0" w:before="0" w:line="276" w:lineRule="auto"/>
        <w:contextualSpacing/>
        <w:jc w:val="both"/>
      </w:pPr>
      <w:r>
        <w:rPr>
          <w:rFonts w:ascii="Times New Roman" w:cs="Arial" w:eastAsia="Times New Roman" w:hAnsi="Times New Roman"/>
          <w:i w:val="false"/>
          <w:iCs w:val="false"/>
          <w:sz w:val="24"/>
          <w:szCs w:val="24"/>
          <w:lang w:eastAsia="pt-BR"/>
        </w:rPr>
        <w:t>7.1 4 O fiscal do contrato anotará em registro próprio todas as ocorrências relacionadas à execução do contrato, determinando o que for necessário para a regularização das faltas ou dos defeitos observados (Lei nº 14.133/2021, art. 117, §1º).</w:t>
      </w:r>
    </w:p>
    <w:p>
      <w:pPr>
        <w:pStyle w:val="style0"/>
        <w:tabs>
          <w:tab w:leader="none" w:pos="708" w:val="left"/>
        </w:tabs>
        <w:spacing w:after="0" w:before="0" w:line="276" w:lineRule="auto"/>
        <w:contextualSpacing/>
        <w:jc w:val="both"/>
      </w:pPr>
      <w:r>
        <w:rPr>
          <w:rFonts w:ascii="Times New Roman" w:cs="Arial" w:eastAsia="Times New Roman" w:hAnsi="Times New Roman"/>
          <w:i w:val="false"/>
          <w:iCs w:val="false"/>
          <w:sz w:val="24"/>
          <w:szCs w:val="24"/>
          <w:lang w:eastAsia="pt-BR"/>
        </w:rPr>
        <w:t>7.1.5 O fiscal do contrato informará a seus superiores, em tempo hábil para a adoção das medidas convenientes, a situação que demandar decisão ou providência que ultrapasse sua competência (Lei nº 14.133/2021, art. 117, §2º).</w:t>
      </w:r>
    </w:p>
    <w:p>
      <w:pPr>
        <w:pStyle w:val="style0"/>
        <w:spacing w:after="0" w:before="0" w:line="276" w:lineRule="auto"/>
        <w:contextualSpacing w:val="false"/>
        <w:jc w:val="both"/>
      </w:pPr>
      <w:r>
        <w:rPr>
          <w:rFonts w:ascii="Times New Roman" w:cs="Arial" w:hAnsi="Times New Roman"/>
          <w:i w:val="false"/>
          <w:iCs w:val="false"/>
          <w:color w:val="000000"/>
          <w:sz w:val="24"/>
          <w:szCs w:val="24"/>
        </w:rPr>
        <w:t>7.1.6 O contratado deverá manter preposto aceito pela Administração no local da obra ou do serviço para representá-lo na execução do contrato. (Lei nº 14.133/2021, art. 118).</w:t>
      </w:r>
    </w:p>
    <w:p>
      <w:pPr>
        <w:pStyle w:val="style0"/>
        <w:spacing w:after="0" w:before="0" w:line="276" w:lineRule="auto"/>
        <w:contextualSpacing w:val="false"/>
        <w:jc w:val="both"/>
      </w:pPr>
      <w:r>
        <w:rPr>
          <w:rFonts w:ascii="Times New Roman" w:cs="Arial" w:hAnsi="Times New Roman"/>
          <w:i w:val="false"/>
          <w:iCs w:val="false"/>
          <w:sz w:val="24"/>
          <w:szCs w:val="24"/>
        </w:rPr>
        <w:t>7.1.7 A indicação ou a manutenção do preposto da empresa poderá ser recusada pelo órgão ou entidade, desde que devidamente justificada, devendo a empresa designar outro para o exercício da atividade (IN 5, art. 44, §1º)</w:t>
      </w:r>
    </w:p>
    <w:p>
      <w:pPr>
        <w:pStyle w:val="style0"/>
        <w:spacing w:after="0" w:before="0" w:line="276" w:lineRule="auto"/>
        <w:contextualSpacing w:val="false"/>
        <w:jc w:val="both"/>
      </w:pPr>
      <w:r>
        <w:rPr>
          <w:rFonts w:ascii="Times New Roman" w:cs="Arial" w:hAnsi="Times New Roman"/>
          <w:i w:val="false"/>
          <w:iCs w:val="false"/>
          <w:sz w:val="24"/>
          <w:szCs w:val="24"/>
        </w:rPr>
        <w:t>7.1.8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pPr>
        <w:pStyle w:val="style0"/>
        <w:spacing w:after="0" w:before="0" w:line="276" w:lineRule="auto"/>
        <w:contextualSpacing w:val="false"/>
        <w:jc w:val="both"/>
      </w:pPr>
      <w:r>
        <w:rPr>
          <w:rFonts w:ascii="Times New Roman" w:cs="Arial" w:hAnsi="Times New Roman"/>
          <w:i w:val="false"/>
          <w:iCs w:val="false"/>
          <w:sz w:val="24"/>
          <w:szCs w:val="24"/>
        </w:rPr>
        <w:t>7 1 9 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pPr>
        <w:pStyle w:val="style0"/>
        <w:spacing w:after="0" w:before="0" w:line="276" w:lineRule="auto"/>
        <w:contextualSpacing w:val="false"/>
        <w:jc w:val="both"/>
      </w:pPr>
      <w:r>
        <w:rPr>
          <w:rFonts w:ascii="Times New Roman" w:cs="Arial" w:hAnsi="Times New Roman"/>
          <w:i w:val="false"/>
          <w:iCs w:val="false"/>
          <w:sz w:val="24"/>
          <w:szCs w:val="24"/>
        </w:rPr>
        <w:t>7.1.10 Somente o contratado será responsável pelos encargos trabalhistas, previdenciários, fiscais e comerciais resultantes da execução do contrato (Lei nº 14.133/2021, art. 121, caput).</w:t>
      </w:r>
    </w:p>
    <w:p>
      <w:pPr>
        <w:pStyle w:val="style0"/>
        <w:tabs>
          <w:tab w:leader="none" w:pos="708" w:val="left"/>
        </w:tabs>
        <w:spacing w:after="0" w:before="0" w:line="276" w:lineRule="auto"/>
        <w:contextualSpacing/>
        <w:jc w:val="both"/>
      </w:pPr>
      <w:r>
        <w:rPr>
          <w:rFonts w:ascii="Times New Roman" w:cs="Arial" w:eastAsia="Times New Roman" w:hAnsi="Times New Roman"/>
          <w:i w:val="false"/>
          <w:iCs w:val="false"/>
          <w:sz w:val="24"/>
          <w:szCs w:val="24"/>
          <w:lang w:eastAsia="pt-BR"/>
        </w:rPr>
        <w:t>7.1.11 A inadimplência do contratado em relação aos encargos trabalhistas, fiscais e comerciais não transferirá à Administração a responsabilidade pelo seu pagamento e não poderá onerar o objeto do contrato (Lei nº 14.133/2021, art. 121, §1º).</w:t>
      </w:r>
    </w:p>
    <w:p>
      <w:pPr>
        <w:pStyle w:val="style0"/>
        <w:spacing w:after="0" w:before="0" w:line="276" w:lineRule="auto"/>
        <w:contextualSpacing w:val="false"/>
        <w:jc w:val="both"/>
      </w:pPr>
      <w:r>
        <w:rPr>
          <w:rFonts w:ascii="Times New Roman" w:cs="Arial" w:hAnsi="Times New Roman"/>
          <w:i w:val="false"/>
          <w:iCs w:val="false"/>
          <w:color w:val="000000"/>
          <w:sz w:val="24"/>
          <w:szCs w:val="24"/>
        </w:rPr>
        <w:t>7.1.12 As comunicações entre o órgão ou entidade e a contratada devem ser realizadas por escrito sempre que o ato exigir tal formalidade, admitindo-se, excepcionalmente, o uso de mensagem eletrônica para esse fim (IN 5/2017, art. 44, §2º).</w:t>
      </w:r>
    </w:p>
    <w:p>
      <w:pPr>
        <w:pStyle w:val="style0"/>
        <w:spacing w:after="0" w:before="0" w:line="276" w:lineRule="auto"/>
        <w:contextualSpacing w:val="false"/>
        <w:jc w:val="both"/>
      </w:pPr>
      <w:r>
        <w:rPr>
          <w:rFonts w:ascii="Times New Roman" w:cs="Arial" w:hAnsi="Times New Roman"/>
          <w:i w:val="false"/>
          <w:iCs w:val="false"/>
          <w:color w:val="000000"/>
          <w:sz w:val="24"/>
          <w:szCs w:val="24"/>
        </w:rPr>
        <w:t>7.1.13 O órgão ou entidade poderá convocar representante da empresa para adoção de providências que devam ser cumpridas de imediato (IN 5/2017, art. 44, §3º).</w:t>
      </w:r>
    </w:p>
    <w:p>
      <w:pPr>
        <w:pStyle w:val="style0"/>
        <w:spacing w:after="0" w:before="0" w:line="276" w:lineRule="auto"/>
        <w:contextualSpacing w:val="false"/>
        <w:jc w:val="both"/>
      </w:pPr>
      <w:r>
        <w:rPr>
          <w:rFonts w:ascii="Times New Roman" w:cs="Arial" w:hAnsi="Times New Roman"/>
          <w:i w:val="false"/>
          <w:iCs w:val="false"/>
          <w:color w:val="00000A"/>
          <w:sz w:val="24"/>
          <w:szCs w:val="24"/>
        </w:rPr>
        <w:t>7.1.14 Após a assinatura do contrato ou instrumento equivalente</w:t>
      </w:r>
      <w:r>
        <w:rPr>
          <w:rFonts w:ascii="Times New Roman" w:cs="Arial" w:hAnsi="Times New Roman"/>
          <w:i w:val="false"/>
          <w:iCs w:val="false"/>
          <w:strike/>
          <w:color w:val="00000A"/>
          <w:sz w:val="24"/>
          <w:szCs w:val="24"/>
        </w:rPr>
        <w:t>,</w:t>
      </w:r>
      <w:r>
        <w:rPr>
          <w:rFonts w:ascii="Times New Roman" w:cs="Arial" w:hAnsi="Times New Roman"/>
          <w:i w:val="false"/>
          <w:iCs w:val="false"/>
          <w:color w:val="00000A"/>
          <w:sz w:val="24"/>
          <w:szCs w:val="24"/>
        </w:rPr>
        <w:t xml:space="preserve"> o órgão ou entidade convocará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(IN 5/2017, art. 44, 31º).</w:t>
      </w:r>
    </w:p>
    <w:p>
      <w:pPr>
        <w:pStyle w:val="style0"/>
        <w:spacing w:after="0" w:before="0" w:line="276" w:lineRule="auto"/>
        <w:contextualSpacing w:val="false"/>
        <w:jc w:val="both"/>
      </w:pPr>
      <w:r>
        <w:rPr>
          <w:rFonts w:ascii="Times New Roman" w:cs="Arial" w:hAnsi="Times New Roman"/>
          <w:i w:val="false"/>
          <w:iCs w:val="false"/>
          <w:color w:val="000000"/>
          <w:sz w:val="24"/>
          <w:szCs w:val="24"/>
        </w:rPr>
        <w:t>7.1.15Antes do pagamento da nota fiscal ou da fatura, deverá ser consultada a situação da empresa junto ao SICAF.</w:t>
      </w:r>
    </w:p>
    <w:p>
      <w:pPr>
        <w:pStyle w:val="style0"/>
        <w:spacing w:after="0" w:before="0" w:line="276" w:lineRule="auto"/>
        <w:contextualSpacing w:val="false"/>
        <w:jc w:val="both"/>
      </w:pPr>
      <w:r>
        <w:rPr>
          <w:rFonts w:ascii="Times New Roman" w:cs="Arial" w:hAnsi="Times New Roman"/>
          <w:i w:val="false"/>
          <w:iCs w:val="false"/>
          <w:color w:val="000000"/>
          <w:sz w:val="24"/>
          <w:szCs w:val="24"/>
        </w:rPr>
        <w:t>7.1.16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pPr>
        <w:pStyle w:val="style0"/>
        <w:spacing w:after="0" w:before="0" w:line="276" w:lineRule="auto"/>
        <w:contextualSpacing w:val="false"/>
        <w:jc w:val="both"/>
      </w:pPr>
      <w:r>
        <w:rPr/>
      </w:r>
    </w:p>
    <w:p>
      <w:pPr>
        <w:pStyle w:val="style0"/>
        <w:spacing w:after="0" w:before="0" w:line="276" w:lineRule="auto"/>
        <w:ind w:hanging="432" w:left="0" w:right="0"/>
        <w:contextualSpacing w:val="false"/>
        <w:jc w:val="both"/>
      </w:pPr>
      <w:r>
        <w:rPr>
          <w:rFonts w:ascii="Times New Roman" w:cs="Arial" w:hAnsi="Times New Roman"/>
          <w:b/>
          <w:bCs/>
          <w:i w:val="false"/>
          <w:iCs w:val="false"/>
          <w:sz w:val="24"/>
          <w:szCs w:val="24"/>
        </w:rPr>
        <w:t xml:space="preserve">      </w:t>
      </w:r>
      <w:r>
        <w:rPr>
          <w:rFonts w:ascii="Times New Roman" w:cs="Arial" w:hAnsi="Times New Roman"/>
          <w:b/>
          <w:bCs/>
          <w:i w:val="false"/>
          <w:iCs w:val="false"/>
          <w:sz w:val="24"/>
          <w:szCs w:val="24"/>
        </w:rPr>
        <w:t>7.2. DOS CRITÉRIOS DE AFERIÇÃO E MEDIÇÃO PARA FATURAMENTO</w:t>
      </w:r>
    </w:p>
    <w:p>
      <w:pPr>
        <w:pStyle w:val="style0"/>
        <w:spacing w:after="0" w:before="0" w:line="276" w:lineRule="auto"/>
        <w:ind w:hanging="432" w:left="0" w:right="0"/>
        <w:contextualSpacing w:val="false"/>
        <w:jc w:val="both"/>
      </w:pPr>
      <w:r>
        <w:rPr/>
      </w:r>
    </w:p>
    <w:p>
      <w:pPr>
        <w:pStyle w:val="style0"/>
        <w:spacing w:after="0" w:before="0" w:line="276" w:lineRule="auto"/>
        <w:contextualSpacing w:val="false"/>
        <w:jc w:val="both"/>
      </w:pPr>
      <w:r>
        <w:rPr>
          <w:rFonts w:ascii="Times New Roman" w:cs="Arial" w:hAnsi="Times New Roman"/>
          <w:i w:val="false"/>
          <w:iCs w:val="false"/>
          <w:color w:val="000000"/>
          <w:sz w:val="24"/>
          <w:szCs w:val="24"/>
        </w:rPr>
        <w:t>7.2.1 A avaliação da execução do objeto uti</w:t>
      </w:r>
      <w:r>
        <w:rPr>
          <w:rFonts w:ascii="Times New Roman" w:cs="Arial" w:hAnsi="Times New Roman"/>
          <w:i w:val="false"/>
          <w:iCs w:val="false"/>
          <w:color w:val="00000A"/>
          <w:sz w:val="24"/>
          <w:szCs w:val="24"/>
        </w:rPr>
        <w:t>lizará o Instrumento de Medição de Resultado (IMR), conforme previsto devendo haver o redimensionamento no pagamento com base nos indicado</w:t>
      </w:r>
      <w:r>
        <w:rPr>
          <w:rFonts w:ascii="Times New Roman" w:cs="Arial" w:hAnsi="Times New Roman"/>
          <w:i w:val="false"/>
          <w:iCs w:val="false"/>
          <w:color w:val="000000"/>
          <w:sz w:val="24"/>
          <w:szCs w:val="24"/>
        </w:rPr>
        <w:t>res estabelecidos, sempre que a CONTRATADA:</w:t>
      </w:r>
    </w:p>
    <w:p>
      <w:pPr>
        <w:pStyle w:val="style0"/>
        <w:spacing w:after="120" w:before="120" w:line="276" w:lineRule="auto"/>
        <w:ind w:hanging="0" w:left="1416" w:right="0"/>
        <w:contextualSpacing w:val="false"/>
        <w:jc w:val="both"/>
      </w:pPr>
      <w:r>
        <w:rPr>
          <w:rFonts w:ascii="Times New Roman" w:cs="Arial" w:eastAsia="Calibri" w:hAnsi="Times New Roman"/>
          <w:i w:val="false"/>
          <w:iCs w:val="false"/>
          <w:sz w:val="24"/>
          <w:szCs w:val="24"/>
        </w:rPr>
        <w:t>a) não produzir os resultados, deixar de executar, ou não executar com a qualidade mínima exigida as atividades contratadas; ou</w:t>
      </w:r>
    </w:p>
    <w:p>
      <w:pPr>
        <w:pStyle w:val="style0"/>
        <w:spacing w:after="120" w:before="120" w:line="276" w:lineRule="auto"/>
        <w:ind w:hanging="0" w:left="1416" w:right="0"/>
        <w:contextualSpacing w:val="false"/>
        <w:jc w:val="both"/>
      </w:pPr>
      <w:r>
        <w:rPr>
          <w:rFonts w:ascii="Times New Roman" w:cs="Arial" w:eastAsia="Calibri" w:hAnsi="Times New Roman"/>
          <w:i w:val="false"/>
          <w:iCs w:val="false"/>
          <w:sz w:val="24"/>
          <w:szCs w:val="24"/>
        </w:rPr>
        <w:t>b) deixar de utilizar materiais e recursos humanos exigidos para a execução do serviço, ou utilizá-los com qualidade ou quantidade inferior à demandada.</w:t>
      </w:r>
    </w:p>
    <w:p>
      <w:pPr>
        <w:pStyle w:val="style0"/>
        <w:spacing w:after="0" w:before="0" w:line="276" w:lineRule="auto"/>
        <w:contextualSpacing w:val="false"/>
        <w:jc w:val="both"/>
      </w:pPr>
      <w:r>
        <w:rPr>
          <w:rFonts w:ascii="Times New Roman" w:cs="Arial" w:eastAsia="Calibri" w:hAnsi="Times New Roman"/>
          <w:i w:val="false"/>
          <w:iCs w:val="false"/>
          <w:color w:val="00000A"/>
          <w:sz w:val="24"/>
          <w:szCs w:val="24"/>
        </w:rPr>
        <w:t>7.2.2 A utilização do IMR não impede a aplicação concomitante de outros mecanismos para a avaliação da prestação dos serviços.</w:t>
      </w:r>
    </w:p>
    <w:p>
      <w:pPr>
        <w:pStyle w:val="style0"/>
        <w:spacing w:after="120" w:before="120" w:line="276" w:lineRule="auto"/>
        <w:contextualSpacing w:val="false"/>
        <w:jc w:val="both"/>
      </w:pPr>
      <w:r>
        <w:rPr>
          <w:rFonts w:ascii="Times New Roman" w:cs="Arial" w:eastAsia="Calibri" w:hAnsi="Times New Roman"/>
          <w:i w:val="false"/>
          <w:iCs w:val="false"/>
          <w:color w:val="000000"/>
          <w:sz w:val="24"/>
          <w:szCs w:val="24"/>
        </w:rPr>
        <w:t>7.2.3 Nos termos do item 1, do Anexo VIII-A da Instrução Normativa SEGES/MP nº 05, de 2017, será indicada a retenção ou glosa no pagamento, proporcional à irregularidade verificada, sem prejuízo das sanções cabíveis, caso se constate que a Contratada:</w:t>
      </w:r>
    </w:p>
    <w:p>
      <w:pPr>
        <w:pStyle w:val="style0"/>
        <w:spacing w:after="120" w:before="120" w:line="276" w:lineRule="auto"/>
        <w:contextualSpacing w:val="false"/>
        <w:jc w:val="both"/>
      </w:pPr>
      <w:r>
        <w:rPr>
          <w:rFonts w:ascii="Times New Roman" w:cs="Arial" w:eastAsia="Calibri" w:hAnsi="Times New Roman"/>
          <w:i w:val="false"/>
          <w:iCs w:val="false"/>
          <w:color w:val="000000"/>
          <w:sz w:val="24"/>
          <w:szCs w:val="24"/>
        </w:rPr>
        <w:t xml:space="preserve">         </w:t>
      </w:r>
      <w:r>
        <w:rPr>
          <w:rFonts w:ascii="Times New Roman" w:cs="Arial" w:eastAsia="Calibri" w:hAnsi="Times New Roman"/>
          <w:i w:val="false"/>
          <w:iCs w:val="false"/>
          <w:color w:val="000000"/>
          <w:sz w:val="24"/>
          <w:szCs w:val="24"/>
        </w:rPr>
        <w:t>a) não produziu os resultados acordados;</w:t>
      </w:r>
    </w:p>
    <w:p>
      <w:pPr>
        <w:pStyle w:val="style0"/>
        <w:spacing w:after="120" w:before="120" w:line="276" w:lineRule="auto"/>
        <w:contextualSpacing w:val="false"/>
        <w:jc w:val="both"/>
      </w:pPr>
      <w:r>
        <w:rPr>
          <w:rFonts w:ascii="Times New Roman" w:cs="Arial" w:eastAsia="Calibri" w:hAnsi="Times New Roman"/>
          <w:i w:val="false"/>
          <w:iCs w:val="false"/>
          <w:color w:val="000000"/>
          <w:sz w:val="24"/>
          <w:szCs w:val="24"/>
        </w:rPr>
        <w:t xml:space="preserve">       </w:t>
      </w:r>
      <w:r>
        <w:rPr>
          <w:rFonts w:ascii="Times New Roman" w:cs="Arial" w:eastAsia="Calibri" w:hAnsi="Times New Roman"/>
          <w:i w:val="false"/>
          <w:iCs w:val="false"/>
          <w:color w:val="000000"/>
          <w:sz w:val="24"/>
          <w:szCs w:val="24"/>
        </w:rPr>
        <w:t>b) deixou de executar as atividades contratadas, ou não as executou com a qualidade mínima exigida;</w:t>
      </w:r>
    </w:p>
    <w:p>
      <w:pPr>
        <w:pStyle w:val="style0"/>
        <w:spacing w:after="120" w:before="120" w:line="276" w:lineRule="auto"/>
        <w:contextualSpacing w:val="false"/>
        <w:jc w:val="both"/>
      </w:pPr>
      <w:r>
        <w:rPr>
          <w:rFonts w:ascii="Times New Roman" w:cs="Arial" w:eastAsia="Calibri" w:hAnsi="Times New Roman"/>
          <w:i w:val="false"/>
          <w:iCs w:val="false"/>
          <w:color w:val="000000"/>
          <w:sz w:val="24"/>
          <w:szCs w:val="24"/>
        </w:rPr>
        <w:t xml:space="preserve"> </w:t>
      </w:r>
      <w:r>
        <w:rPr>
          <w:rFonts w:ascii="Times New Roman" w:cs="Arial" w:eastAsia="Calibri" w:hAnsi="Times New Roman"/>
          <w:i w:val="false"/>
          <w:iCs w:val="false"/>
          <w:color w:val="000000"/>
          <w:sz w:val="24"/>
          <w:szCs w:val="24"/>
        </w:rPr>
        <w:t>7.2.4 deixou de utilizar os materiais e recursos humanos exigidos para a execução do serviço, ou utilizou-os com qualidade ou quantidade inferior à demandada.</w:t>
      </w:r>
    </w:p>
    <w:p>
      <w:pPr>
        <w:pStyle w:val="style0"/>
        <w:spacing w:after="0" w:before="0" w:line="276" w:lineRule="auto"/>
        <w:ind w:hanging="432" w:left="0" w:right="0"/>
        <w:contextualSpacing w:val="false"/>
        <w:jc w:val="both"/>
      </w:pPr>
      <w:r>
        <w:rPr>
          <w:rFonts w:ascii="Times New Roman" w:cs="Arial" w:hAnsi="Times New Roman"/>
          <w:b/>
          <w:bCs/>
          <w:i w:val="false"/>
          <w:iCs w:val="false"/>
          <w:sz w:val="24"/>
          <w:szCs w:val="24"/>
        </w:rPr>
        <w:t xml:space="preserve">       </w:t>
      </w:r>
      <w:r>
        <w:rPr>
          <w:rFonts w:ascii="Times New Roman" w:cs="Arial" w:hAnsi="Times New Roman"/>
          <w:b/>
          <w:bCs/>
          <w:i w:val="false"/>
          <w:iCs w:val="false"/>
          <w:sz w:val="24"/>
          <w:szCs w:val="24"/>
        </w:rPr>
        <w:t>7.3 DO RECEBIMENTO</w:t>
      </w:r>
    </w:p>
    <w:p>
      <w:pPr>
        <w:pStyle w:val="style71"/>
        <w:spacing w:after="0" w:before="0"/>
        <w:ind w:hanging="0" w:left="284" w:right="0"/>
        <w:contextualSpacing w:val="false"/>
      </w:pPr>
      <w:r>
        <w:rPr/>
      </w:r>
    </w:p>
    <w:p>
      <w:pPr>
        <w:pStyle w:val="style71"/>
        <w:spacing w:after="0" w:before="0"/>
        <w:contextualSpacing w:val="false"/>
      </w:pPr>
      <w:r>
        <w:rPr>
          <w:rFonts w:ascii="Times New Roman" w:hAnsi="Times New Roman"/>
          <w:bCs/>
          <w:i w:val="false"/>
          <w:iCs w:val="false"/>
          <w:color w:val="00000A"/>
          <w:sz w:val="24"/>
          <w:szCs w:val="24"/>
        </w:rPr>
        <w:t>7.3.1 Os serviços serão recebidos provisoriamente, no prazo de 30</w:t>
      </w:r>
      <w:r>
        <w:rPr>
          <w:rFonts w:ascii="Times New Roman" w:hAnsi="Times New Roman"/>
          <w:bCs/>
          <w:i w:val="false"/>
          <w:iCs w:val="false"/>
          <w:color w:val="FF0000"/>
          <w:sz w:val="24"/>
          <w:szCs w:val="24"/>
        </w:rPr>
        <w:t xml:space="preserve"> </w:t>
      </w:r>
      <w:r>
        <w:rPr>
          <w:rFonts w:ascii="Times New Roman" w:hAnsi="Times New Roman"/>
          <w:bCs/>
          <w:i w:val="false"/>
          <w:iCs w:val="false"/>
          <w:color w:val="00000A"/>
          <w:sz w:val="24"/>
          <w:szCs w:val="24"/>
        </w:rPr>
        <w:t xml:space="preserve">dias, contado da data de entrega da nota fiscal junto ao serviço prestado concluído serviço , pelo(a) responsável pelo acompanhamento e fiscalização do contrato, </w:t>
      </w:r>
      <w:r>
        <w:rPr>
          <w:rFonts w:ascii="Times New Roman" w:hAnsi="Times New Roman"/>
          <w:i w:val="false"/>
          <w:iCs w:val="false"/>
          <w:sz w:val="24"/>
          <w:szCs w:val="24"/>
        </w:rPr>
        <w:t>mediante termo detalhado, quando verificado o cumprimento das exigências de caráter técnico</w:t>
      </w:r>
      <w:r>
        <w:rPr>
          <w:rFonts w:ascii="Times New Roman" w:hAnsi="Times New Roman"/>
          <w:bCs/>
          <w:i w:val="false"/>
          <w:iCs w:val="false"/>
          <w:color w:val="00000A"/>
          <w:sz w:val="24"/>
          <w:szCs w:val="24"/>
        </w:rPr>
        <w:t>.</w:t>
      </w:r>
    </w:p>
    <w:p>
      <w:pPr>
        <w:pStyle w:val="style71"/>
        <w:spacing w:after="0" w:before="0"/>
        <w:contextualSpacing w:val="false"/>
      </w:pPr>
      <w:r>
        <w:rPr/>
      </w:r>
    </w:p>
    <w:p>
      <w:pPr>
        <w:pStyle w:val="style71"/>
        <w:spacing w:after="0" w:before="0"/>
        <w:contextualSpacing w:val="false"/>
      </w:pPr>
      <w:r>
        <w:rPr>
          <w:rFonts w:ascii="Times New Roman" w:hAnsi="Times New Roman"/>
          <w:bCs/>
          <w:i w:val="false"/>
          <w:iCs w:val="false"/>
          <w:color w:val="00000A"/>
          <w:sz w:val="24"/>
          <w:szCs w:val="24"/>
        </w:rPr>
        <w:t xml:space="preserve"> </w:t>
      </w:r>
      <w:r>
        <w:rPr>
          <w:rFonts w:ascii="Times New Roman" w:hAnsi="Times New Roman"/>
          <w:bCs/>
          <w:i w:val="false"/>
          <w:iCs w:val="false"/>
          <w:color w:val="00000A"/>
          <w:sz w:val="24"/>
          <w:szCs w:val="24"/>
        </w:rPr>
        <w:t>7.3.2 O contratante realizará inspeção minuciosa de todos os serviços executados, por meio de profissionais técnicos competentes, acompanhados dos profissionais encarregados pelo serviço, com a finalidade de verificar a adequação dos serviços e constatar e relacionar os arremates, retoques e revisões finais que se fizerem necessários.</w:t>
      </w:r>
    </w:p>
    <w:p>
      <w:pPr>
        <w:pStyle w:val="style71"/>
        <w:spacing w:after="0" w:before="0"/>
        <w:ind w:hanging="792" w:left="2977" w:right="0"/>
        <w:contextualSpacing w:val="false"/>
      </w:pPr>
      <w:r>
        <w:rPr>
          <w:rFonts w:ascii="Times New Roman" w:hAnsi="Times New Roman"/>
          <w:bCs/>
          <w:i w:val="false"/>
          <w:iCs w:val="false"/>
          <w:color w:val="00000A"/>
          <w:sz w:val="24"/>
          <w:szCs w:val="24"/>
        </w:rPr>
        <w:t>7.3.3 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pPr>
        <w:pStyle w:val="style71"/>
        <w:spacing w:after="0" w:before="0"/>
        <w:ind w:hanging="792" w:left="2977" w:right="0"/>
        <w:contextualSpacing w:val="false"/>
      </w:pPr>
      <w:r>
        <w:rPr>
          <w:rFonts w:ascii="Times New Roman" w:hAnsi="Times New Roman"/>
          <w:bCs/>
          <w:i w:val="false"/>
          <w:iCs w:val="false"/>
          <w:color w:val="00000A"/>
          <w:sz w:val="24"/>
          <w:szCs w:val="24"/>
        </w:rPr>
        <w:t>7.3.4 O Contratado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pPr>
        <w:pStyle w:val="style71"/>
        <w:spacing w:after="0" w:before="0"/>
        <w:ind w:hanging="792" w:left="2977" w:right="0"/>
        <w:contextualSpacing w:val="false"/>
      </w:pPr>
      <w:r>
        <w:rPr>
          <w:rFonts w:ascii="Times New Roman" w:hAnsi="Times New Roman"/>
          <w:bCs/>
          <w:i w:val="false"/>
          <w:iCs w:val="false"/>
          <w:color w:val="00000A"/>
          <w:sz w:val="24"/>
          <w:szCs w:val="24"/>
        </w:rPr>
        <w:t>7.3.5 O recebimento provisório também ficará sujeito, quando cabível, à conclusão de todos os testes de campo e à entrega dos Manuais e Instruções exigíveis.</w:t>
      </w:r>
    </w:p>
    <w:p>
      <w:pPr>
        <w:pStyle w:val="style71"/>
        <w:spacing w:after="0" w:before="0"/>
        <w:contextualSpacing w:val="false"/>
      </w:pPr>
      <w:r>
        <w:rPr>
          <w:rFonts w:ascii="Times New Roman" w:hAnsi="Times New Roman"/>
          <w:bCs/>
          <w:i w:val="false"/>
          <w:iCs w:val="false"/>
          <w:color w:val="00000A"/>
          <w:sz w:val="24"/>
          <w:szCs w:val="24"/>
        </w:rPr>
        <w:t>7.4 No prazo supracitado para o recebimento provisório, cada fiscal ou a equipe de fiscalização deverá elaborar Relatório Circunstanciado em consonância com suas atribuições, e encaminhá-lo ao gestor do contrato.</w:t>
      </w:r>
    </w:p>
    <w:p>
      <w:pPr>
        <w:pStyle w:val="style71"/>
        <w:spacing w:after="0" w:before="0"/>
        <w:ind w:hanging="792" w:left="2977" w:right="0"/>
        <w:contextualSpacing w:val="false"/>
      </w:pPr>
      <w:r>
        <w:rPr>
          <w:rFonts w:ascii="Times New Roman" w:hAnsi="Times New Roman"/>
          <w:bCs/>
          <w:i w:val="false"/>
          <w:iCs w:val="false"/>
          <w:color w:val="00000A"/>
          <w:sz w:val="24"/>
          <w:szCs w:val="24"/>
        </w:rPr>
        <w:t xml:space="preserve"> </w:t>
      </w:r>
      <w:r>
        <w:rPr>
          <w:rFonts w:ascii="Times New Roman" w:hAnsi="Times New Roman"/>
          <w:bCs/>
          <w:i w:val="false"/>
          <w:iCs w:val="false"/>
          <w:color w:val="00000A"/>
          <w:sz w:val="24"/>
          <w:szCs w:val="24"/>
        </w:rPr>
        <w:t>7.4.1 quando a fiscalização for exercida por um único servidor, o relatório circunstanciado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pPr>
        <w:pStyle w:val="style71"/>
        <w:spacing w:after="0" w:before="0"/>
        <w:contextualSpacing w:val="false"/>
      </w:pPr>
      <w:r>
        <w:rPr>
          <w:rFonts w:ascii="Times New Roman" w:hAnsi="Times New Roman"/>
          <w:bCs/>
          <w:i w:val="false"/>
          <w:iCs w:val="false"/>
          <w:color w:val="00000A"/>
          <w:sz w:val="24"/>
          <w:szCs w:val="24"/>
        </w:rPr>
        <w:t>7.5 Os serviços poderão ser rejeitados, no todo ou em parte, quando em desacordo com as especificações constantes neste Termo de Referência e na proposta, devendo ser</w:t>
      </w:r>
      <w:r>
        <w:rPr>
          <w:rFonts w:ascii="Times New Roman" w:hAnsi="Times New Roman"/>
          <w:bCs/>
          <w:i w:val="false"/>
          <w:iCs w:val="false"/>
          <w:strike/>
          <w:color w:val="00000A"/>
          <w:sz w:val="24"/>
          <w:szCs w:val="24"/>
        </w:rPr>
        <w:t xml:space="preserve"> </w:t>
      </w:r>
      <w:r>
        <w:rPr>
          <w:rFonts w:ascii="Times New Roman" w:hAnsi="Times New Roman"/>
          <w:bCs/>
          <w:i w:val="false"/>
          <w:iCs w:val="false"/>
          <w:color w:val="00000A"/>
          <w:sz w:val="24"/>
          <w:szCs w:val="24"/>
        </w:rPr>
        <w:t>corrigidos/refeitos/substituídos no prazo de dez (10)</w:t>
      </w:r>
      <w:r>
        <w:rPr>
          <w:rFonts w:ascii="Times New Roman" w:hAnsi="Times New Roman"/>
          <w:bCs/>
          <w:i w:val="false"/>
          <w:iCs w:val="false"/>
          <w:color w:val="FF0000"/>
          <w:sz w:val="24"/>
          <w:szCs w:val="24"/>
        </w:rPr>
        <w:t xml:space="preserve"> </w:t>
      </w:r>
      <w:r>
        <w:rPr>
          <w:rFonts w:ascii="Times New Roman" w:hAnsi="Times New Roman"/>
          <w:bCs/>
          <w:i w:val="false"/>
          <w:iCs w:val="false"/>
          <w:color w:val="00000A"/>
          <w:sz w:val="24"/>
          <w:szCs w:val="24"/>
        </w:rPr>
        <w:t>dias, a contar da notificação da contratada, às suas custas, sem prejuízo da aplicação das penalidades.</w:t>
      </w:r>
    </w:p>
    <w:p>
      <w:pPr>
        <w:pStyle w:val="style71"/>
        <w:spacing w:after="0" w:before="0"/>
        <w:contextualSpacing w:val="false"/>
      </w:pPr>
      <w:r>
        <w:rPr>
          <w:rFonts w:ascii="Times New Roman" w:hAnsi="Times New Roman"/>
          <w:bCs/>
          <w:i w:val="false"/>
          <w:iCs w:val="false"/>
          <w:color w:val="00000A"/>
          <w:sz w:val="24"/>
          <w:szCs w:val="24"/>
        </w:rPr>
        <w:t xml:space="preserve">7.6 Os serviços serão recebidos definitivamente no prazo de trinta (30) dias, contados do recebimento provisório, </w:t>
      </w:r>
      <w:r>
        <w:rPr>
          <w:rFonts w:ascii="Times New Roman" w:hAnsi="Times New Roman"/>
          <w:i w:val="false"/>
          <w:iCs w:val="false"/>
          <w:sz w:val="24"/>
          <w:szCs w:val="24"/>
        </w:rPr>
        <w:t>por servidor ou comissão designada pela autoridade competente,</w:t>
      </w:r>
      <w:r>
        <w:rPr>
          <w:rFonts w:ascii="Times New Roman" w:hAnsi="Times New Roman"/>
          <w:bCs/>
          <w:i w:val="false"/>
          <w:iCs w:val="false"/>
          <w:color w:val="00000A"/>
          <w:sz w:val="24"/>
          <w:szCs w:val="24"/>
        </w:rPr>
        <w:t xml:space="preserve"> após a verificação da qualidade e quantidade do serviço e consequente aceitação mediante termo detalhado, obedecendo as seguintes diretrizes:</w:t>
      </w:r>
    </w:p>
    <w:p>
      <w:pPr>
        <w:pStyle w:val="style71"/>
        <w:tabs>
          <w:tab w:leader="none" w:pos="1701" w:val="left"/>
          <w:tab w:leader="none" w:pos="1985" w:val="left"/>
        </w:tabs>
        <w:spacing w:after="0" w:before="0"/>
        <w:contextualSpacing w:val="false"/>
      </w:pPr>
      <w:r>
        <w:rPr>
          <w:rFonts w:ascii="Times New Roman" w:hAnsi="Times New Roman"/>
          <w:i w:val="false"/>
          <w:iCs w:val="false"/>
          <w:sz w:val="24"/>
          <w:szCs w:val="24"/>
        </w:rPr>
        <w:t>7.7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pPr>
        <w:pStyle w:val="style71"/>
        <w:tabs>
          <w:tab w:leader="none" w:pos="1701" w:val="left"/>
        </w:tabs>
        <w:spacing w:after="0" w:before="0"/>
        <w:contextualSpacing w:val="false"/>
      </w:pPr>
      <w:r>
        <w:rPr>
          <w:rFonts w:ascii="Times New Roman" w:hAnsi="Times New Roman"/>
          <w:i w:val="false"/>
          <w:iCs w:val="false"/>
          <w:sz w:val="24"/>
          <w:szCs w:val="24"/>
        </w:rPr>
        <w:t>7.8 Emitir Termo Circunstanciado para efeito de recebimento definitivo dos serviços prestados, com base nos relatórios e documentações apresentadas; e</w:t>
      </w:r>
    </w:p>
    <w:p>
      <w:pPr>
        <w:pStyle w:val="style71"/>
        <w:tabs>
          <w:tab w:leader="none" w:pos="1701" w:val="left"/>
        </w:tabs>
        <w:spacing w:after="0" w:before="0"/>
        <w:contextualSpacing w:val="false"/>
      </w:pPr>
      <w:r>
        <w:rPr>
          <w:rFonts w:ascii="Times New Roman" w:hAnsi="Times New Roman"/>
          <w:i w:val="false"/>
          <w:iCs w:val="false"/>
          <w:sz w:val="24"/>
          <w:szCs w:val="24"/>
        </w:rPr>
        <w:t>7.9 Comunicar a empresa para que emita a Nota Fiscal ou Fatura, com o valor exato dimensionado pela fiscal</w:t>
      </w:r>
      <w:r>
        <w:rPr>
          <w:rFonts w:ascii="Times New Roman" w:hAnsi="Times New Roman"/>
          <w:i w:val="false"/>
          <w:iCs w:val="false"/>
          <w:color w:val="00000A"/>
          <w:sz w:val="24"/>
          <w:szCs w:val="24"/>
        </w:rPr>
        <w:t xml:space="preserve">ização, com base no Instrumento de Medição de Resultado (IMR), </w:t>
      </w:r>
    </w:p>
    <w:p>
      <w:pPr>
        <w:pStyle w:val="style71"/>
        <w:spacing w:after="0" w:before="0"/>
        <w:contextualSpacing w:val="false"/>
      </w:pPr>
      <w:r>
        <w:rPr>
          <w:rFonts w:ascii="Times New Roman" w:hAnsi="Times New Roman"/>
          <w:bCs/>
          <w:i w:val="false"/>
          <w:iCs w:val="false"/>
          <w:color w:val="00000A"/>
          <w:sz w:val="24"/>
          <w:szCs w:val="24"/>
        </w:rPr>
        <w:t>7.10 O recebimento provisório ou definitivo não excluirá a responsabilidade civil pela solidez e pela segurança do serviço nem a responsabilidade ético-profissional pela perfeita execução do contrato.</w:t>
      </w:r>
    </w:p>
    <w:p>
      <w:pPr>
        <w:pStyle w:val="style58"/>
        <w:spacing w:after="0" w:before="0"/>
        <w:contextualSpacing w:val="false"/>
      </w:pPr>
      <w:r>
        <w:rPr>
          <w:rFonts w:ascii="Times New Roman" w:hAnsi="Times New Roman"/>
          <w:i w:val="false"/>
          <w:iCs w:val="false"/>
          <w:color w:val="00000A"/>
          <w:sz w:val="24"/>
          <w:szCs w:val="24"/>
        </w:rPr>
        <w:t xml:space="preserve">8 . FORMA E CRITÉRIOS DE SELEÇÃO DO FORNECEDOR MEDIANTE O USO DO SISTEMA DE DISPENSA ELETRÔNICA (art. 6º, inciso XXIII, alínea ‘h’, da Lei n. 14.133/2021) </w:t>
      </w:r>
    </w:p>
    <w:p>
      <w:pPr>
        <w:pStyle w:val="style0"/>
      </w:pPr>
      <w:r>
        <w:rPr/>
      </w:r>
    </w:p>
    <w:p>
      <w:pPr>
        <w:pStyle w:val="style71"/>
        <w:spacing w:after="0" w:before="0"/>
        <w:ind w:hanging="432" w:left="0" w:right="0"/>
        <w:contextualSpacing w:val="false"/>
      </w:pPr>
      <w:r>
        <w:rPr>
          <w:rFonts w:ascii="Times New Roman" w:hAnsi="Times New Roman"/>
          <w:i w:val="false"/>
          <w:iCs w:val="false"/>
          <w:color w:val="00000A"/>
          <w:sz w:val="24"/>
          <w:szCs w:val="24"/>
        </w:rPr>
        <w:t xml:space="preserve">    </w:t>
      </w:r>
      <w:r>
        <w:rPr>
          <w:rFonts w:ascii="Times New Roman" w:hAnsi="Times New Roman"/>
          <w:i w:val="false"/>
          <w:iCs w:val="false"/>
          <w:color w:val="00000A"/>
          <w:sz w:val="24"/>
          <w:szCs w:val="24"/>
        </w:rPr>
        <w:t xml:space="preserve">8.1 O fornecedor será selecionado por meio da realização de procedimento de dispensa de licitação, na forma eletrônica, com fundamento na hipótese do art. 75, inciso II da Lei n.º 14.133/2021, que culminará com a seleção da proposta de menor preço por item.  </w:t>
      </w:r>
    </w:p>
    <w:p>
      <w:pPr>
        <w:pStyle w:val="style71"/>
        <w:spacing w:after="0" w:before="0"/>
        <w:ind w:hanging="432" w:left="0" w:right="0"/>
        <w:contextualSpacing w:val="false"/>
      </w:pPr>
      <w:r>
        <w:rPr>
          <w:rFonts w:ascii="Times New Roman" w:eastAsia="Times New Roman" w:hAnsi="Times New Roman"/>
          <w:i w:val="false"/>
          <w:iCs w:val="false"/>
          <w:color w:val="00000A"/>
          <w:sz w:val="24"/>
          <w:szCs w:val="24"/>
          <w:lang w:eastAsia="pt-BR"/>
        </w:rPr>
        <w:t xml:space="preserve">    </w:t>
      </w:r>
      <w:r>
        <w:rPr>
          <w:rFonts w:ascii="Times New Roman" w:eastAsia="Times New Roman" w:hAnsi="Times New Roman"/>
          <w:i w:val="false"/>
          <w:iCs w:val="false"/>
          <w:color w:val="00000A"/>
          <w:sz w:val="24"/>
          <w:szCs w:val="24"/>
          <w:lang w:eastAsia="pt-BR"/>
        </w:rPr>
        <w:t xml:space="preserve">8.2 As exigências de habilitação jurídica, </w:t>
      </w:r>
      <w:r>
        <w:rPr>
          <w:rFonts w:ascii="Times New Roman" w:eastAsia="WenQuanYi Micro Hei" w:hAnsi="Times New Roman"/>
          <w:i w:val="false"/>
          <w:iCs w:val="false"/>
          <w:color w:val="00000A"/>
          <w:sz w:val="24"/>
          <w:szCs w:val="24"/>
          <w:lang w:bidi="hi-IN" w:eastAsia="zh-CN"/>
        </w:rPr>
        <w:t xml:space="preserve">fiscal, social e trabalhista </w:t>
      </w:r>
      <w:r>
        <w:rPr>
          <w:rFonts w:ascii="Times New Roman" w:eastAsia="Times New Roman" w:hAnsi="Times New Roman"/>
          <w:i w:val="false"/>
          <w:iCs w:val="false"/>
          <w:color w:val="00000A"/>
          <w:sz w:val="24"/>
          <w:szCs w:val="24"/>
          <w:lang w:eastAsia="pt-BR"/>
        </w:rPr>
        <w:t xml:space="preserve">são as usuais para a generalidade dos objetos, conforme disciplinado no Anexo I do Aviso de </w:t>
      </w:r>
      <w:r>
        <w:rPr>
          <w:rFonts w:ascii="Times New Roman" w:hAnsi="Times New Roman"/>
          <w:i w:val="false"/>
          <w:iCs w:val="false"/>
          <w:color w:val="00000A"/>
          <w:sz w:val="24"/>
          <w:szCs w:val="24"/>
        </w:rPr>
        <w:t>Contratação</w:t>
      </w:r>
      <w:r>
        <w:rPr>
          <w:rFonts w:ascii="Times New Roman" w:eastAsia="Times New Roman" w:hAnsi="Times New Roman"/>
          <w:i w:val="false"/>
          <w:iCs w:val="false"/>
          <w:color w:val="00000A"/>
          <w:sz w:val="24"/>
          <w:szCs w:val="24"/>
          <w:lang w:eastAsia="pt-BR"/>
        </w:rPr>
        <w:t xml:space="preserve"> Direta.</w:t>
      </w:r>
    </w:p>
    <w:p>
      <w:pPr>
        <w:pStyle w:val="style71"/>
        <w:spacing w:after="0" w:before="0"/>
        <w:ind w:hanging="432" w:left="0" w:right="0"/>
        <w:contextualSpacing w:val="false"/>
      </w:pPr>
      <w:r>
        <w:rPr>
          <w:rFonts w:ascii="Times New Roman" w:eastAsia="Times New Roman" w:hAnsi="Times New Roman"/>
          <w:i w:val="false"/>
          <w:iCs w:val="false"/>
          <w:color w:val="00000A"/>
          <w:sz w:val="24"/>
          <w:szCs w:val="24"/>
          <w:lang w:eastAsia="pt-BR"/>
        </w:rPr>
        <w:t xml:space="preserve">      </w:t>
      </w:r>
      <w:r>
        <w:rPr>
          <w:rFonts w:ascii="Times New Roman" w:eastAsia="Times New Roman" w:hAnsi="Times New Roman"/>
          <w:i w:val="false"/>
          <w:iCs w:val="false"/>
          <w:color w:val="00000A"/>
          <w:sz w:val="24"/>
          <w:szCs w:val="24"/>
          <w:lang w:eastAsia="pt-BR"/>
        </w:rPr>
        <w:t>8.3 Os critérios de habilitação econômico-financeira a serem atendidos pelo fornecedor estão previstos no Anexo I do Aviso de Contratação Direta.</w:t>
      </w:r>
    </w:p>
    <w:p>
      <w:pPr>
        <w:pStyle w:val="style71"/>
        <w:spacing w:after="0" w:before="0"/>
        <w:ind w:hanging="432" w:left="0" w:right="0"/>
        <w:contextualSpacing w:val="false"/>
      </w:pPr>
      <w:bookmarkStart w:id="2" w:name="_Hlk101768009"/>
      <w:bookmarkEnd w:id="2"/>
      <w:r>
        <w:rPr>
          <w:rFonts w:ascii="Times New Roman" w:eastAsia="Times New Roman" w:hAnsi="Times New Roman"/>
          <w:i w:val="false"/>
          <w:iCs w:val="false"/>
          <w:color w:val="00000A"/>
          <w:sz w:val="24"/>
          <w:szCs w:val="24"/>
          <w:lang w:eastAsia="pt-BR"/>
        </w:rPr>
        <w:t xml:space="preserve">       </w:t>
      </w:r>
      <w:r>
        <w:rPr>
          <w:rFonts w:ascii="Times New Roman" w:eastAsia="Times New Roman" w:hAnsi="Times New Roman"/>
          <w:i w:val="false"/>
          <w:iCs w:val="false"/>
          <w:color w:val="00000A"/>
          <w:sz w:val="24"/>
          <w:szCs w:val="24"/>
          <w:lang w:eastAsia="pt-BR"/>
        </w:rPr>
        <w:t>8.4 Os critérios de habilitação técnica a serem atendidos pelo fornecedor serão:</w:t>
      </w:r>
    </w:p>
    <w:p>
      <w:pPr>
        <w:pStyle w:val="style71"/>
        <w:spacing w:after="0" w:before="0"/>
        <w:contextualSpacing w:val="false"/>
      </w:pPr>
      <w:r>
        <w:rPr>
          <w:rFonts w:ascii="Times New Roman" w:hAnsi="Times New Roman"/>
          <w:i w:val="false"/>
          <w:iCs w:val="false"/>
          <w:color w:val="00000A"/>
          <w:sz w:val="24"/>
          <w:szCs w:val="24"/>
        </w:rPr>
        <w:t>8.4.1 Comprovação</w:t>
      </w:r>
      <w:r>
        <w:rPr>
          <w:rFonts w:ascii="Times New Roman" w:eastAsia="Times New Roman" w:hAnsi="Times New Roman"/>
          <w:i w:val="false"/>
          <w:iCs w:val="false"/>
          <w:color w:val="00000A"/>
          <w:sz w:val="24"/>
          <w:szCs w:val="24"/>
          <w:lang w:eastAsia="pt-BR"/>
        </w:rPr>
        <w:t xml:space="preserve"> de aptidão para a prestação dos serviços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pPr>
        <w:pStyle w:val="style71"/>
        <w:spacing w:after="0" w:before="0"/>
        <w:contextualSpacing w:val="false"/>
      </w:pPr>
      <w:r>
        <w:rPr>
          <w:rFonts w:ascii="Times New Roman" w:hAnsi="Times New Roman"/>
          <w:i w:val="false"/>
          <w:iCs w:val="false"/>
          <w:color w:val="00000A"/>
          <w:sz w:val="24"/>
          <w:szCs w:val="24"/>
        </w:rPr>
        <w:t>8.5 Será admitida, para fins de comprovação de quantitativo mínimo, a apresentação e o somatório de diferentes atestados executados de forma concomitante.</w:t>
      </w:r>
    </w:p>
    <w:p>
      <w:pPr>
        <w:pStyle w:val="style75"/>
        <w:keepNext/>
        <w:widowControl/>
        <w:suppressAutoHyphens w:val="false"/>
        <w:spacing w:after="120" w:before="120"/>
        <w:ind w:hanging="0" w:left="0" w:right="0"/>
        <w:contextualSpacing w:val="false"/>
      </w:pPr>
      <w:r>
        <w:rPr>
          <w:rFonts w:ascii="Times New Roman" w:cs="Arial" w:hAnsi="Times New Roman"/>
          <w:i w:val="false"/>
          <w:iCs w:val="false"/>
          <w:color w:val="00000A"/>
          <w:sz w:val="24"/>
          <w:szCs w:val="24"/>
        </w:rPr>
        <w:t>8.6 Deverá haver a comprovação da experiência mínima de 2 anos na prestação dos serviços, sendo aceito o somatório de atestados de períodos diferentes, não havendo obrigatoriedade de os 2  anos serem ininterruptos.</w:t>
      </w:r>
    </w:p>
    <w:p>
      <w:pPr>
        <w:pStyle w:val="style71"/>
        <w:spacing w:after="0" w:before="0"/>
        <w:contextualSpacing w:val="false"/>
      </w:pPr>
      <w:r>
        <w:rPr>
          <w:rFonts w:ascii="Times New Roman" w:hAnsi="Times New Roman"/>
          <w:i w:val="false"/>
          <w:iCs w:val="false"/>
          <w:color w:val="00000A"/>
          <w:sz w:val="24"/>
          <w:szCs w:val="24"/>
        </w:rPr>
        <w:t>8.7 Os atestados de capacidade técnica poderão ser apresentados em nome da matriz ou da filial do fornecedor.</w:t>
      </w:r>
    </w:p>
    <w:p>
      <w:pPr>
        <w:pStyle w:val="style71"/>
        <w:spacing w:after="0" w:before="0"/>
        <w:contextualSpacing w:val="false"/>
      </w:pPr>
      <w:r>
        <w:rPr>
          <w:rFonts w:ascii="Times New Roman" w:hAnsi="Times New Roman"/>
          <w:i w:val="false"/>
          <w:iCs w:val="false"/>
          <w:color w:val="00000A"/>
          <w:sz w:val="24"/>
          <w:szCs w:val="24"/>
        </w:rPr>
        <w:t>8.8 Apresentação de profissional(is), devidamente registrado(s) no conselho profissional competente, quando for o caso, detentor(es) de atestado de responsabilidade técnica por execução de objeto de características semelhantes, para fins de contratação.</w:t>
      </w:r>
      <w:r>
        <w:rPr>
          <w:rFonts w:ascii="Times New Roman" w:cs="Arial" w:hAnsi="Times New Roman"/>
          <w:bCs/>
          <w:i w:val="false"/>
          <w:iCs w:val="false"/>
          <w:color w:val="00000A"/>
          <w:sz w:val="24"/>
          <w:szCs w:val="24"/>
        </w:rPr>
        <w:t>.</w:t>
      </w:r>
    </w:p>
    <w:p>
      <w:pPr>
        <w:pStyle w:val="style71"/>
        <w:spacing w:after="0" w:before="0"/>
        <w:contextualSpacing w:val="false"/>
      </w:pPr>
      <w:r>
        <w:rPr>
          <w:rFonts w:ascii="Times New Roman" w:hAnsi="Times New Roman"/>
          <w:i w:val="false"/>
          <w:iCs w:val="false"/>
          <w:color w:val="00000A"/>
          <w:sz w:val="24"/>
          <w:szCs w:val="24"/>
        </w:rPr>
        <w:t>8.9 No decorrer da execução do serviço, os profissionais de que trata este subitem deverão participar da execução do objeto e poderão ser substituídos, nos termos do 67, §6º, por profissionais de experiência equivalente ou superior, desde que a substituição seja aprovada pela Administração.</w:t>
      </w:r>
    </w:p>
    <w:p>
      <w:pPr>
        <w:pStyle w:val="style71"/>
        <w:spacing w:after="0" w:before="120"/>
        <w:contextualSpacing w:val="false"/>
      </w:pPr>
      <w:r>
        <w:rPr>
          <w:rFonts w:ascii="Times New Roman" w:hAnsi="Times New Roman"/>
          <w:bCs/>
          <w:i w:val="false"/>
          <w:iCs w:val="false"/>
          <w:color w:val="00000A"/>
          <w:sz w:val="24"/>
          <w:szCs w:val="24"/>
        </w:rPr>
        <w:t>8.10 O fornecedor deverá apresentar, ainda, a relação de compromissos por ele assumidos, conforme modelo constante do Anexo, que importem em diminuição da disponibilidade do pessoal técnico apresentado para fins de qualificação técnico-profissional.</w:t>
      </w:r>
    </w:p>
    <w:p>
      <w:pPr>
        <w:pStyle w:val="style71"/>
        <w:spacing w:after="0" w:before="0"/>
        <w:contextualSpacing w:val="false"/>
      </w:pPr>
      <w:r>
        <w:rPr>
          <w:rFonts w:ascii="Times New Roman" w:hAnsi="Times New Roman"/>
          <w:bCs/>
          <w:i w:val="false"/>
          <w:iCs w:val="false"/>
          <w:color w:val="00000A"/>
          <w:sz w:val="24"/>
          <w:szCs w:val="24"/>
        </w:rPr>
        <w:t>8.11 Registro ou inscrição na entidade profissional competente, em plena validade;</w:t>
      </w:r>
    </w:p>
    <w:p>
      <w:pPr>
        <w:pStyle w:val="style71"/>
        <w:spacing w:after="0" w:before="0"/>
        <w:contextualSpacing w:val="false"/>
      </w:pPr>
      <w:r>
        <w:rPr>
          <w:rFonts w:ascii="Times New Roman" w:hAnsi="Times New Roman"/>
          <w:bCs/>
          <w:i w:val="false"/>
          <w:iCs w:val="false"/>
          <w:color w:val="00000A"/>
          <w:sz w:val="24"/>
          <w:szCs w:val="24"/>
        </w:rPr>
        <w:t xml:space="preserve">8.12 O fornecedor </w:t>
      </w:r>
      <w:r>
        <w:rPr>
          <w:rFonts w:ascii="Times New Roman" w:hAnsi="Times New Roman"/>
          <w:i w:val="false"/>
          <w:iCs w:val="false"/>
          <w:color w:val="00000A"/>
          <w:sz w:val="24"/>
          <w:szCs w:val="24"/>
        </w:rPr>
        <w:t>disponibilizará</w:t>
      </w:r>
      <w:r>
        <w:rPr>
          <w:rFonts w:ascii="Times New Roman" w:hAnsi="Times New Roman"/>
          <w:bCs/>
          <w:i w:val="false"/>
          <w:iCs w:val="false"/>
          <w:color w:val="00000A"/>
          <w:sz w:val="24"/>
          <w:szCs w:val="24"/>
        </w:rPr>
        <w:t xml:space="preserve"> todas as informações necessárias à </w:t>
      </w:r>
      <w:r>
        <w:rPr>
          <w:rFonts w:ascii="Times New Roman" w:hAnsi="Times New Roman"/>
          <w:i w:val="false"/>
          <w:iCs w:val="false"/>
          <w:color w:val="00000A"/>
          <w:sz w:val="24"/>
          <w:szCs w:val="24"/>
        </w:rPr>
        <w:t>comprovação</w:t>
      </w:r>
      <w:r>
        <w:rPr>
          <w:rFonts w:ascii="Times New Roman" w:hAnsi="Times New Roman"/>
          <w:bCs/>
          <w:i w:val="false"/>
          <w:iCs w:val="false"/>
          <w:color w:val="00000A"/>
          <w:sz w:val="24"/>
          <w:szCs w:val="24"/>
        </w:rPr>
        <w:t xml:space="preserve"> da legitimidade dos atestados, apresentando, quando solicitado pela Administração, </w:t>
      </w:r>
      <w:r>
        <w:rPr>
          <w:rFonts w:ascii="Times New Roman" w:hAnsi="Times New Roman"/>
          <w:i w:val="false"/>
          <w:iCs w:val="false"/>
          <w:color w:val="00000A"/>
          <w:sz w:val="24"/>
          <w:szCs w:val="24"/>
        </w:rPr>
        <w:t>cópia</w:t>
      </w:r>
      <w:r>
        <w:rPr>
          <w:rFonts w:ascii="Times New Roman" w:hAnsi="Times New Roman"/>
          <w:bCs/>
          <w:i w:val="false"/>
          <w:iCs w:val="false"/>
          <w:color w:val="00000A"/>
          <w:sz w:val="24"/>
          <w:szCs w:val="24"/>
        </w:rPr>
        <w:t xml:space="preserve"> do contrato que deu suporte à contratação, endereço atual da contratante e local em que foi executado o objeto contratado, dentre outros documentos.</w:t>
      </w:r>
    </w:p>
    <w:p>
      <w:pPr>
        <w:pStyle w:val="style71"/>
        <w:spacing w:after="0" w:before="0"/>
        <w:contextualSpacing w:val="false"/>
      </w:pPr>
      <w:r>
        <w:rPr/>
      </w:r>
    </w:p>
    <w:p>
      <w:pPr>
        <w:pStyle w:val="style71"/>
        <w:spacing w:after="0" w:before="0"/>
        <w:contextualSpacing w:val="false"/>
      </w:pPr>
      <w:r>
        <w:rPr>
          <w:rFonts w:ascii="Times New Roman" w:hAnsi="Times New Roman"/>
          <w:b/>
          <w:bCs/>
          <w:i w:val="false"/>
          <w:iCs w:val="false"/>
          <w:color w:val="00000A"/>
          <w:sz w:val="24"/>
          <w:szCs w:val="24"/>
        </w:rPr>
        <w:t xml:space="preserve">9. FORMA E CRITÉRIOS DE SELEÇÃO DO FORNECEDOR (art. 6º, inciso XXIII, alínea ‘h’, da Lei n. 14.133/2021) </w:t>
      </w:r>
    </w:p>
    <w:p>
      <w:pPr>
        <w:pStyle w:val="style71"/>
        <w:spacing w:after="0" w:before="0"/>
        <w:contextualSpacing w:val="false"/>
      </w:pPr>
      <w:r>
        <w:rPr/>
      </w:r>
    </w:p>
    <w:p>
      <w:pPr>
        <w:pStyle w:val="style71"/>
        <w:tabs/>
        <w:spacing w:after="0" w:before="0"/>
        <w:ind w:hanging="90" w:left="-90" w:right="0"/>
        <w:contextualSpacing w:val="false"/>
      </w:pPr>
      <w:r>
        <w:rPr>
          <w:rFonts w:ascii="Times New Roman" w:hAnsi="Times New Roman"/>
          <w:i w:val="false"/>
          <w:iCs w:val="false"/>
          <w:color w:val="00000A"/>
          <w:sz w:val="24"/>
          <w:szCs w:val="24"/>
        </w:rPr>
        <w:t xml:space="preserve">  </w:t>
      </w:r>
      <w:r>
        <w:rPr>
          <w:rFonts w:ascii="Times New Roman" w:hAnsi="Times New Roman"/>
          <w:i w:val="false"/>
          <w:iCs w:val="false"/>
          <w:color w:val="00000A"/>
          <w:sz w:val="24"/>
          <w:szCs w:val="24"/>
        </w:rPr>
        <w:t xml:space="preserve">9.1 O fornecedor será selecionado por meio da realização de procedimento de dispensa de licitação, com fundamento na hipótese do art. 75, inciso II, da Lei n.º 14.133/2021 </w:t>
      </w:r>
    </w:p>
    <w:p>
      <w:pPr>
        <w:pStyle w:val="style71"/>
        <w:tabs/>
        <w:spacing w:after="0" w:before="0"/>
        <w:ind w:hanging="90" w:left="-90" w:right="0"/>
        <w:contextualSpacing w:val="false"/>
      </w:pPr>
      <w:r>
        <w:rPr>
          <w:rFonts w:ascii="Times New Roman" w:hAnsi="Times New Roman"/>
          <w:i w:val="false"/>
          <w:iCs w:val="false"/>
          <w:color w:val="00000A"/>
          <w:sz w:val="24"/>
          <w:szCs w:val="24"/>
        </w:rPr>
        <w:t xml:space="preserve"> </w:t>
      </w:r>
      <w:r>
        <w:rPr>
          <w:rFonts w:ascii="Times New Roman" w:hAnsi="Times New Roman"/>
          <w:i w:val="false"/>
          <w:iCs w:val="false"/>
          <w:color w:val="00000A"/>
          <w:sz w:val="24"/>
          <w:szCs w:val="24"/>
        </w:rPr>
        <w:t xml:space="preserve">9.2 Previamente à celebração do contrato, a Administração verificará o eventual descumprimento das condições para contratação, especialmente quanto à existência de sanção que a impeça, mediante a consulta a cadastros informativos oficiais, tais como:  </w:t>
      </w:r>
    </w:p>
    <w:p>
      <w:pPr>
        <w:pStyle w:val="style59"/>
        <w:spacing w:after="120" w:before="120" w:line="276" w:lineRule="auto"/>
        <w:ind w:hanging="0" w:left="1134" w:right="0"/>
        <w:contextualSpacing/>
        <w:jc w:val="both"/>
      </w:pPr>
      <w:r>
        <w:rPr>
          <w:rFonts w:ascii="Times New Roman" w:cs="Arial" w:hAnsi="Times New Roman"/>
          <w:i w:val="false"/>
          <w:iCs w:val="false"/>
          <w:color w:val="00000A"/>
          <w:sz w:val="24"/>
          <w:szCs w:val="24"/>
          <w:lang w:eastAsia="ar-SA"/>
        </w:rPr>
        <w:t xml:space="preserve">a) SICAF;  </w:t>
      </w:r>
    </w:p>
    <w:p>
      <w:pPr>
        <w:pStyle w:val="style59"/>
        <w:spacing w:after="120" w:before="120" w:line="276" w:lineRule="auto"/>
        <w:ind w:hanging="0" w:left="1134" w:right="0"/>
        <w:contextualSpacing/>
        <w:jc w:val="both"/>
      </w:pPr>
      <w:r>
        <w:rPr>
          <w:rFonts w:ascii="Times New Roman" w:cs="Arial" w:hAnsi="Times New Roman"/>
          <w:i w:val="false"/>
          <w:iCs w:val="false"/>
          <w:color w:val="00000A"/>
          <w:sz w:val="24"/>
          <w:szCs w:val="24"/>
          <w:lang w:eastAsia="ar-SA"/>
        </w:rPr>
        <w:t>b) Cadastro Nacional de Empresas Inidôneas e Suspensas - CEIS, mantido pela Controladoria-Geral da União (</w:t>
      </w:r>
      <w:hyperlink r:id="rId3">
        <w:r>
          <w:rPr>
            <w:rStyle w:val="style16"/>
            <w:rStyle w:val="style16"/>
            <w:rFonts w:ascii="Times New Roman" w:cs="Arial" w:hAnsi="Times New Roman"/>
            <w:i w:val="false"/>
            <w:iCs w:val="false"/>
            <w:color w:val="00000A"/>
            <w:sz w:val="24"/>
            <w:szCs w:val="24"/>
            <w:lang w:eastAsia="ar-SA"/>
          </w:rPr>
          <w:t>www.portaldatransparencia.gov.br/ceis</w:t>
        </w:r>
      </w:hyperlink>
      <w:r>
        <w:rPr>
          <w:rFonts w:ascii="Times New Roman" w:cs="Arial" w:hAnsi="Times New Roman"/>
          <w:i w:val="false"/>
          <w:iCs w:val="false"/>
          <w:color w:val="00000A"/>
          <w:sz w:val="24"/>
          <w:szCs w:val="24"/>
          <w:lang w:eastAsia="ar-SA"/>
        </w:rPr>
        <w:t>); e</w:t>
      </w:r>
    </w:p>
    <w:p>
      <w:pPr>
        <w:pStyle w:val="style59"/>
        <w:spacing w:after="120" w:before="120" w:line="276" w:lineRule="auto"/>
        <w:ind w:hanging="0" w:left="1134" w:right="0"/>
        <w:contextualSpacing/>
        <w:jc w:val="both"/>
      </w:pPr>
      <w:r>
        <w:rPr>
          <w:rFonts w:ascii="Times New Roman" w:cs="Arial" w:hAnsi="Times New Roman"/>
          <w:i w:val="false"/>
          <w:iCs w:val="false"/>
          <w:color w:val="00000A"/>
          <w:sz w:val="24"/>
          <w:szCs w:val="24"/>
          <w:lang w:eastAsia="ar-SA"/>
        </w:rPr>
        <w:t>c) Cadastro Nacional de Empresas Punidas – CNEP, mantido pela Controladoria-Geral da União (</w:t>
      </w:r>
      <w:hyperlink r:id="rId4">
        <w:r>
          <w:rPr>
            <w:rStyle w:val="style16"/>
            <w:rStyle w:val="style16"/>
            <w:rFonts w:ascii="Times New Roman" w:cs="Arial" w:hAnsi="Times New Roman"/>
            <w:i w:val="false"/>
            <w:iCs w:val="false"/>
            <w:color w:val="00000A"/>
            <w:sz w:val="24"/>
            <w:szCs w:val="24"/>
            <w:lang w:eastAsia="ar-SA"/>
          </w:rPr>
          <w:t>https://www.portaltransparencia.gov.br/sancoes/cnep</w:t>
        </w:r>
      </w:hyperlink>
      <w:r>
        <w:rPr>
          <w:rFonts w:ascii="Times New Roman" w:cs="Arial" w:hAnsi="Times New Roman"/>
          <w:i w:val="false"/>
          <w:iCs w:val="false"/>
          <w:color w:val="00000A"/>
          <w:sz w:val="24"/>
          <w:szCs w:val="24"/>
          <w:lang w:eastAsia="ar-SA"/>
        </w:rPr>
        <w:t>)</w:t>
      </w:r>
    </w:p>
    <w:p>
      <w:pPr>
        <w:pStyle w:val="style71"/>
        <w:spacing w:after="0" w:before="0"/>
        <w:ind w:firstLine="18" w:left="-72" w:right="0"/>
        <w:contextualSpacing w:val="false"/>
      </w:pPr>
      <w:r>
        <w:rPr>
          <w:rFonts w:ascii="Times New Roman" w:hAnsi="Times New Roman"/>
          <w:i w:val="false"/>
          <w:iCs w:val="false"/>
          <w:color w:val="00000A"/>
          <w:sz w:val="24"/>
          <w:szCs w:val="24"/>
        </w:rPr>
        <w:t>9.3 A consulta aos cadastros será realizada em nome da empresa fornecedora 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style71"/>
        <w:spacing w:after="0" w:before="0"/>
        <w:ind w:firstLine="18" w:left="-72" w:right="0"/>
        <w:contextualSpacing w:val="false"/>
      </w:pPr>
      <w:r>
        <w:rPr>
          <w:rFonts w:ascii="Times New Roman" w:hAnsi="Times New Roman"/>
          <w:i w:val="false"/>
          <w:iCs w:val="false"/>
          <w:color w:val="00000A"/>
          <w:sz w:val="24"/>
          <w:szCs w:val="24"/>
        </w:rPr>
        <w:t>9.4 Caso conste na Consulta de Situação do Fornecedor a existência de Ocorrências Impeditivas Indiretas, o gestor diligenciará para verificar se houve fraude por parte das empresas apontadas no Relatório de Ocorrências Impeditivas Indiretas.</w:t>
      </w:r>
    </w:p>
    <w:p>
      <w:pPr>
        <w:pStyle w:val="style71"/>
        <w:spacing w:after="0" w:before="0"/>
        <w:ind w:firstLine="18" w:left="-72" w:right="0"/>
        <w:contextualSpacing w:val="false"/>
      </w:pPr>
      <w:r>
        <w:rPr>
          <w:rFonts w:ascii="Times New Roman" w:hAnsi="Times New Roman"/>
          <w:i w:val="false"/>
          <w:iCs w:val="false"/>
          <w:color w:val="00000A"/>
          <w:sz w:val="24"/>
          <w:szCs w:val="24"/>
        </w:rPr>
        <w:t>9.5 A tentativa de burla será verificada por meio dos vínculos societários, linhas de fornecimento similares, dentre outros.</w:t>
      </w:r>
    </w:p>
    <w:p>
      <w:pPr>
        <w:pStyle w:val="style71"/>
        <w:spacing w:after="0" w:before="0"/>
        <w:ind w:firstLine="18" w:left="-72" w:right="0"/>
        <w:contextualSpacing w:val="false"/>
      </w:pPr>
      <w:r>
        <w:rPr>
          <w:rFonts w:ascii="Times New Roman" w:hAnsi="Times New Roman"/>
          <w:i w:val="false"/>
          <w:iCs w:val="false"/>
          <w:color w:val="00000A"/>
          <w:sz w:val="24"/>
          <w:szCs w:val="24"/>
        </w:rPr>
        <w:t>9.6 O fornecedor será convocado para manifestação previamente a uma eventual negativa de contratação.</w:t>
      </w:r>
    </w:p>
    <w:p>
      <w:pPr>
        <w:pStyle w:val="style71"/>
        <w:spacing w:after="0" w:before="0"/>
        <w:ind w:firstLine="18" w:left="-72" w:right="0"/>
        <w:contextualSpacing w:val="false"/>
      </w:pPr>
      <w:r>
        <w:rPr>
          <w:rFonts w:ascii="Times New Roman" w:hAnsi="Times New Roman"/>
          <w:i w:val="false"/>
          <w:iCs w:val="false"/>
          <w:color w:val="00000A"/>
          <w:sz w:val="24"/>
          <w:szCs w:val="24"/>
        </w:rPr>
        <w:t>9.7 Caso atendidas as condições para contratação, a habilitação do fornecedor será verificada por meio do SICAF, nos documentos por ele abrangidos.</w:t>
      </w:r>
    </w:p>
    <w:p>
      <w:pPr>
        <w:pStyle w:val="style71"/>
        <w:spacing w:after="0" w:before="0"/>
        <w:ind w:firstLine="18" w:left="-72" w:right="0"/>
        <w:contextualSpacing w:val="false"/>
      </w:pPr>
      <w:r>
        <w:rPr>
          <w:rFonts w:ascii="Times New Roman" w:hAnsi="Times New Roman"/>
          <w:i w:val="false"/>
          <w:iCs w:val="false"/>
          <w:color w:val="00000A"/>
          <w:sz w:val="24"/>
          <w:szCs w:val="24"/>
        </w:rPr>
        <w:t>9.8 É dever do fornecedor manter atualizada a respectiva documentação constante do SICAF, ou encaminhar, quando solicitado pela Administração, a respectiva documentação atualizada.</w:t>
      </w:r>
    </w:p>
    <w:p>
      <w:pPr>
        <w:pStyle w:val="style71"/>
        <w:spacing w:after="0" w:before="0"/>
        <w:ind w:firstLine="18" w:left="-72" w:right="0"/>
        <w:contextualSpacing w:val="false"/>
      </w:pPr>
      <w:r>
        <w:rPr>
          <w:rFonts w:ascii="Times New Roman" w:hAnsi="Times New Roman"/>
          <w:i w:val="false"/>
          <w:iCs w:val="false"/>
          <w:color w:val="00000A"/>
          <w:sz w:val="24"/>
          <w:szCs w:val="24"/>
        </w:rPr>
        <w:t>9.9 Não serão aceitos documentos de habilitação com indicação de CNPJ/CPF diferentes, salvo aqueles legalmente permitidos.</w:t>
      </w:r>
    </w:p>
    <w:p>
      <w:pPr>
        <w:pStyle w:val="style71"/>
        <w:spacing w:after="0" w:before="0"/>
        <w:ind w:firstLine="18" w:left="-72" w:right="0"/>
        <w:contextualSpacing w:val="false"/>
      </w:pPr>
      <w:r>
        <w:rPr>
          <w:rFonts w:ascii="Times New Roman" w:hAnsi="Times New Roman"/>
          <w:i w:val="false"/>
          <w:iCs w:val="false"/>
          <w:color w:val="00000A"/>
          <w:sz w:val="24"/>
          <w:szCs w:val="24"/>
        </w:rPr>
        <w:t>9.10 Se o fornecedor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pPr>
        <w:pStyle w:val="style71"/>
        <w:spacing w:after="0" w:before="0"/>
        <w:ind w:firstLine="18" w:left="-72" w:right="0"/>
        <w:contextualSpacing w:val="false"/>
      </w:pPr>
      <w:r>
        <w:rPr>
          <w:rFonts w:ascii="Times New Roman" w:hAnsi="Times New Roman"/>
          <w:i w:val="false"/>
          <w:iCs w:val="false"/>
          <w:color w:val="00000A"/>
          <w:sz w:val="24"/>
          <w:szCs w:val="24"/>
        </w:rPr>
        <w:t>9.11 Serão aceitos registros de CNPJ de fornecedor matriz e filial com diferenças de números de documentos pertinentes ao CND e ao CRF/FGTS, quando for comprovada a centralização do recolhimento dessas contribuições.</w:t>
      </w:r>
    </w:p>
    <w:p>
      <w:pPr>
        <w:pStyle w:val="style71"/>
        <w:spacing w:after="0" w:before="0"/>
        <w:ind w:firstLine="18" w:left="-72" w:right="0"/>
        <w:contextualSpacing w:val="false"/>
      </w:pPr>
      <w:r>
        <w:rPr>
          <w:rFonts w:ascii="Times New Roman" w:hAnsi="Times New Roman"/>
          <w:i w:val="false"/>
          <w:iCs w:val="false"/>
          <w:color w:val="00000A"/>
          <w:sz w:val="24"/>
          <w:szCs w:val="24"/>
        </w:rPr>
        <w:t>9.12 Para fins de contratação, deverá o fornecedor comprovar os seguintes requisitos de habilitação:</w:t>
      </w:r>
    </w:p>
    <w:p>
      <w:pPr>
        <w:pStyle w:val="style0"/>
        <w:spacing w:after="120" w:before="120" w:line="276" w:lineRule="auto"/>
        <w:ind w:hanging="432" w:left="425" w:right="0"/>
        <w:contextualSpacing w:val="false"/>
        <w:jc w:val="both"/>
      </w:pPr>
      <w:r>
        <w:rPr>
          <w:rFonts w:ascii="Times New Roman" w:cs="Arial" w:hAnsi="Times New Roman"/>
          <w:b/>
          <w:i w:val="false"/>
          <w:iCs w:val="false"/>
          <w:color w:val="00000A"/>
          <w:sz w:val="24"/>
          <w:szCs w:val="24"/>
        </w:rPr>
        <w:t>9.13 HABILITAÇÃO JURÍDICA</w:t>
      </w:r>
      <w:r>
        <w:rPr>
          <w:rFonts w:ascii="Times New Roman" w:cs="Arial" w:hAnsi="Times New Roman"/>
          <w:b/>
          <w:bCs/>
          <w:i w:val="false"/>
          <w:iCs w:val="false"/>
          <w:color w:val="00000A"/>
          <w:sz w:val="24"/>
          <w:szCs w:val="24"/>
        </w:rPr>
        <w:t xml:space="preserve">: </w:t>
      </w:r>
    </w:p>
    <w:p>
      <w:pPr>
        <w:pStyle w:val="style0"/>
        <w:spacing w:after="120" w:before="120" w:line="276" w:lineRule="auto"/>
        <w:contextualSpacing w:val="false"/>
        <w:jc w:val="both"/>
      </w:pPr>
      <w:r>
        <w:rPr>
          <w:rFonts w:ascii="Times New Roman" w:cs="Arial" w:hAnsi="Times New Roman"/>
          <w:b w:val="false"/>
          <w:bCs w:val="false"/>
          <w:i w:val="false"/>
          <w:iCs w:val="false"/>
          <w:color w:val="00000A"/>
          <w:sz w:val="24"/>
          <w:szCs w:val="24"/>
        </w:rPr>
        <w:t xml:space="preserve">9.13.1 Microempreendedor Individual - MEI: Certificado da Condição de Microempreendedor Individual - CCMEI, cuja aceitação ficará condicionada à verificação da autenticidade no sítio </w:t>
      </w:r>
      <w:hyperlink r:id="rId5">
        <w:r>
          <w:rPr>
            <w:rStyle w:val="style16"/>
            <w:rStyle w:val="style16"/>
            <w:rFonts w:ascii="Times New Roman" w:cs="Arial" w:hAnsi="Times New Roman"/>
            <w:b w:val="false"/>
            <w:bCs w:val="false"/>
            <w:i w:val="false"/>
            <w:iCs w:val="false"/>
            <w:color w:val="00000A"/>
            <w:sz w:val="24"/>
            <w:szCs w:val="24"/>
            <w:u w:val="single"/>
          </w:rPr>
          <w:t>www.portaldoempreendedor.gov.br</w:t>
        </w:r>
      </w:hyperlink>
      <w:r>
        <w:rPr>
          <w:rFonts w:ascii="Times New Roman" w:cs="Arial" w:hAnsi="Times New Roman"/>
          <w:b w:val="false"/>
          <w:bCs w:val="false"/>
          <w:i w:val="false"/>
          <w:iCs w:val="false"/>
          <w:color w:val="00000A"/>
          <w:sz w:val="24"/>
          <w:szCs w:val="24"/>
        </w:rPr>
        <w:t xml:space="preserve">; </w:t>
      </w:r>
    </w:p>
    <w:p>
      <w:pPr>
        <w:pStyle w:val="style0"/>
        <w:spacing w:after="120" w:before="120" w:line="276" w:lineRule="auto"/>
        <w:ind w:hanging="432" w:left="425" w:right="0"/>
        <w:contextualSpacing w:val="false"/>
        <w:jc w:val="both"/>
      </w:pPr>
      <w:r>
        <w:rPr>
          <w:rFonts w:ascii="Times New Roman" w:cs="Arial" w:hAnsi="Times New Roman"/>
          <w:b/>
          <w:i w:val="false"/>
          <w:iCs w:val="false"/>
          <w:color w:val="00000A"/>
          <w:sz w:val="24"/>
          <w:szCs w:val="24"/>
        </w:rPr>
        <w:t>9.14 HABILITAÇÕES FISCAL, SOCIAL E TRABALHISTA:</w:t>
      </w:r>
    </w:p>
    <w:p>
      <w:pPr>
        <w:pStyle w:val="style0"/>
        <w:spacing w:after="120" w:before="120" w:line="276" w:lineRule="auto"/>
        <w:contextualSpacing w:val="false"/>
        <w:jc w:val="both"/>
      </w:pPr>
      <w:r>
        <w:rPr>
          <w:rFonts w:ascii="Times New Roman" w:cs="Arial" w:hAnsi="Times New Roman"/>
          <w:i w:val="false"/>
          <w:iCs w:val="false"/>
          <w:color w:val="00000A"/>
          <w:sz w:val="24"/>
          <w:szCs w:val="24"/>
        </w:rPr>
        <w:t>9.14.1 prova de inscrição no Cadastro Nacional da Pessoa Jurídica (CNPJ);</w:t>
      </w:r>
    </w:p>
    <w:p>
      <w:pPr>
        <w:pStyle w:val="style0"/>
        <w:spacing w:after="120" w:before="120" w:line="276" w:lineRule="auto"/>
        <w:contextualSpacing w:val="false"/>
        <w:jc w:val="both"/>
      </w:pPr>
      <w:r>
        <w:rPr>
          <w:rFonts w:ascii="Times New Roman" w:cs="Arial" w:hAnsi="Times New Roman"/>
          <w:i w:val="false"/>
          <w:iCs w:val="false"/>
          <w:color w:val="00000A"/>
          <w:sz w:val="24"/>
          <w:szCs w:val="24"/>
        </w:rPr>
        <w:t>9.14.2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style0"/>
        <w:spacing w:after="120" w:before="120" w:line="276" w:lineRule="auto"/>
        <w:contextualSpacing w:val="false"/>
        <w:jc w:val="both"/>
      </w:pPr>
      <w:r>
        <w:rPr>
          <w:rFonts w:ascii="Times New Roman" w:cs="Arial" w:hAnsi="Times New Roman"/>
          <w:i w:val="false"/>
          <w:iCs w:val="false"/>
          <w:color w:val="00000A"/>
          <w:sz w:val="24"/>
          <w:szCs w:val="24"/>
        </w:rPr>
        <w:t>9.14.2 prova de regularidade com o Fundo de Garantia do Tempo de Serviço (FGTS);</w:t>
      </w:r>
    </w:p>
    <w:p>
      <w:pPr>
        <w:pStyle w:val="style0"/>
        <w:spacing w:after="120" w:before="120" w:line="276" w:lineRule="auto"/>
        <w:contextualSpacing w:val="false"/>
        <w:jc w:val="both"/>
      </w:pPr>
      <w:r>
        <w:rPr>
          <w:rFonts w:ascii="Times New Roman" w:cs="Arial" w:hAnsi="Times New Roman"/>
          <w:i w:val="false"/>
          <w:iCs w:val="false"/>
          <w:color w:val="00000A"/>
          <w:sz w:val="24"/>
          <w:szCs w:val="24"/>
        </w:rPr>
        <w:t>9.14.3 declaração de que não emprega menor de 18 anos em trabalho noturno, perigoso ou insalubre e não emprega menor de 16 anos, salvo menor, a partir de 14 anos, na condição de aprendiz, nos termos do artigo 7°, XXXIII, da Constituição;</w:t>
      </w:r>
    </w:p>
    <w:p>
      <w:pPr>
        <w:pStyle w:val="style0"/>
        <w:spacing w:after="120" w:before="120" w:line="276" w:lineRule="auto"/>
        <w:contextualSpacing w:val="false"/>
        <w:jc w:val="both"/>
      </w:pPr>
      <w:r>
        <w:rPr>
          <w:rFonts w:ascii="Times New Roman" w:cs="Arial" w:hAnsi="Times New Roman"/>
          <w:i w:val="false"/>
          <w:iCs w:val="false"/>
          <w:color w:val="00000A"/>
          <w:sz w:val="24"/>
          <w:szCs w:val="24"/>
        </w:rPr>
        <w:t>9.14.4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style0"/>
        <w:spacing w:after="120" w:before="120" w:line="276" w:lineRule="auto"/>
        <w:contextualSpacing w:val="false"/>
        <w:jc w:val="both"/>
      </w:pPr>
      <w:r>
        <w:rPr>
          <w:rFonts w:ascii="Times New Roman" w:cs="Arial" w:hAnsi="Times New Roman"/>
          <w:i w:val="false"/>
          <w:iCs w:val="false"/>
          <w:color w:val="00000A"/>
          <w:sz w:val="24"/>
          <w:szCs w:val="24"/>
        </w:rPr>
        <w:t xml:space="preserve">9.14.5 prova de inscrição no cadastro de contribuintes municipal, se houver, relativo ao domicílio ou sede do fornecedor, pertinente ao seu ramo de atividade e compatível com o objeto contratual; </w:t>
      </w:r>
    </w:p>
    <w:p>
      <w:pPr>
        <w:pStyle w:val="style0"/>
        <w:spacing w:after="120" w:before="120" w:line="276" w:lineRule="auto"/>
        <w:contextualSpacing w:val="false"/>
        <w:jc w:val="both"/>
      </w:pPr>
      <w:r>
        <w:rPr>
          <w:rFonts w:ascii="Times New Roman" w:cs="Arial" w:hAnsi="Times New Roman"/>
          <w:i w:val="false"/>
          <w:iCs w:val="false"/>
          <w:color w:val="00000A"/>
          <w:sz w:val="24"/>
          <w:szCs w:val="24"/>
        </w:rPr>
        <w:t>9.14.6 O fornecedor enquadrado como microempreendedor individual que pretenda auferir os benefícios do tratamento diferenciado previstos na Lei Complementar n. 123, de 2006, estará dispensado da prova de inscrição nos cadastros de contribuintes estadual e municipal.</w:t>
      </w:r>
    </w:p>
    <w:p>
      <w:pPr>
        <w:pStyle w:val="style0"/>
        <w:spacing w:after="120" w:before="120" w:line="276" w:lineRule="auto"/>
        <w:contextualSpacing w:val="false"/>
        <w:jc w:val="both"/>
      </w:pPr>
      <w:r>
        <w:rPr>
          <w:rFonts w:ascii="Times New Roman" w:cs="Arial" w:hAnsi="Times New Roman"/>
          <w:i w:val="false"/>
          <w:iCs w:val="false"/>
          <w:color w:val="00000A"/>
          <w:sz w:val="24"/>
          <w:szCs w:val="24"/>
        </w:rPr>
        <w:t xml:space="preserve">9.14.7 prova de regularidade com a Fazenda Municipal ou Distrital do domicílio ou sede do fornecedor, relativa à atividade em cujo exercício contrata ou concorre; </w:t>
      </w:r>
    </w:p>
    <w:p>
      <w:pPr>
        <w:pStyle w:val="style0"/>
        <w:spacing w:after="120" w:before="120" w:line="276" w:lineRule="auto"/>
        <w:contextualSpacing w:val="false"/>
        <w:jc w:val="both"/>
      </w:pPr>
      <w:r>
        <w:rPr>
          <w:rFonts w:ascii="Times New Roman" w:cs="Arial" w:hAnsi="Times New Roman"/>
          <w:i w:val="false"/>
          <w:iCs w:val="false"/>
          <w:color w:val="00000A"/>
          <w:sz w:val="24"/>
          <w:szCs w:val="24"/>
        </w:rPr>
        <w:t>9.14.8 caso o fornecedor seja considerado isento dos tributos municipais ou distritais relacionados ao objeto, deverá comprovar tal condição mediante a apresentação de certidão ou declaração da Fazenda respectiva do seu domicílio ou sede, ou por meio de outro documento equivalente, na forma da respectiva legislação de regência.</w:t>
      </w:r>
    </w:p>
    <w:p>
      <w:pPr>
        <w:pStyle w:val="style58"/>
        <w:spacing w:after="0" w:before="0"/>
        <w:contextualSpacing w:val="false"/>
      </w:pPr>
      <w:r>
        <w:rPr>
          <w:rFonts w:ascii="Times New Roman" w:hAnsi="Times New Roman"/>
          <w:i w:val="false"/>
          <w:iCs w:val="false"/>
          <w:sz w:val="24"/>
          <w:szCs w:val="24"/>
        </w:rPr>
        <w:t>10. ADEQUAÇÃO ORÇAMENTÁRIA</w:t>
      </w:r>
    </w:p>
    <w:p>
      <w:pPr>
        <w:pStyle w:val="style59"/>
        <w:spacing w:after="0" w:before="0" w:line="276" w:lineRule="auto"/>
        <w:ind w:hanging="0" w:left="0" w:right="0"/>
        <w:contextualSpacing/>
        <w:jc w:val="both"/>
      </w:pPr>
      <w:r>
        <w:rPr>
          <w:rFonts w:ascii="Times New Roman" w:cs="Arial" w:hAnsi="Times New Roman"/>
          <w:i w:val="false"/>
          <w:iCs w:val="false"/>
          <w:sz w:val="24"/>
          <w:szCs w:val="24"/>
        </w:rPr>
        <w:t>10.1 As despesas decorrentes da presente contratação correrão à conta de recursos específicos consignados no Orçamento Geral da União.</w:t>
      </w:r>
    </w:p>
    <w:p>
      <w:pPr>
        <w:pStyle w:val="style59"/>
        <w:spacing w:after="0" w:before="0" w:line="276" w:lineRule="auto"/>
        <w:ind w:hanging="0" w:left="0" w:right="0"/>
        <w:contextualSpacing/>
        <w:jc w:val="both"/>
      </w:pPr>
      <w:r>
        <w:rPr>
          <w:rFonts w:ascii="Times New Roman" w:cs="Arial" w:hAnsi="Times New Roman"/>
          <w:i w:val="false"/>
          <w:iCs w:val="false"/>
          <w:sz w:val="24"/>
          <w:szCs w:val="24"/>
        </w:rPr>
        <w:t>10.2 A contratação será atendida pela seguinte dotação:</w:t>
      </w:r>
    </w:p>
    <w:p>
      <w:pPr>
        <w:pStyle w:val="style0"/>
        <w:spacing w:after="0" w:before="0" w:line="276" w:lineRule="auto"/>
        <w:ind w:firstLine="283" w:left="1133" w:right="0"/>
        <w:contextualSpacing w:val="false"/>
        <w:jc w:val="both"/>
      </w:pPr>
      <w:r>
        <w:rPr/>
      </w:r>
    </w:p>
    <w:p>
      <w:pPr>
        <w:pStyle w:val="style0"/>
        <w:spacing w:after="0" w:before="0" w:line="276" w:lineRule="auto"/>
        <w:ind w:firstLine="283" w:left="1133" w:right="0"/>
        <w:contextualSpacing w:val="false"/>
        <w:jc w:val="both"/>
      </w:pPr>
      <w:r>
        <w:rPr>
          <w:rFonts w:ascii="Times New Roman" w:cs="Arial" w:hAnsi="Times New Roman"/>
          <w:i w:val="false"/>
          <w:iCs w:val="false"/>
          <w:color w:val="00000A"/>
          <w:sz w:val="24"/>
          <w:szCs w:val="24"/>
        </w:rPr>
        <w:t>Gestão/Unidade: 0001;</w:t>
      </w:r>
    </w:p>
    <w:p>
      <w:pPr>
        <w:pStyle w:val="style0"/>
        <w:spacing w:after="0" w:before="0" w:line="276" w:lineRule="auto"/>
        <w:ind w:firstLine="566" w:left="850" w:right="0"/>
        <w:contextualSpacing w:val="false"/>
        <w:jc w:val="both"/>
      </w:pPr>
      <w:r>
        <w:rPr>
          <w:rFonts w:ascii="Times New Roman" w:cs="Arial" w:hAnsi="Times New Roman"/>
          <w:i w:val="false"/>
          <w:iCs w:val="false"/>
          <w:color w:val="00000A"/>
          <w:sz w:val="24"/>
          <w:szCs w:val="24"/>
        </w:rPr>
        <w:t>Fonte de Recursos: 1000000000;</w:t>
      </w:r>
    </w:p>
    <w:p>
      <w:pPr>
        <w:pStyle w:val="style0"/>
        <w:spacing w:after="0" w:before="0" w:line="276" w:lineRule="auto"/>
        <w:ind w:firstLine="283" w:left="1133" w:right="0"/>
        <w:contextualSpacing w:val="false"/>
        <w:jc w:val="both"/>
      </w:pPr>
      <w:r>
        <w:rPr>
          <w:rFonts w:ascii="Times New Roman" w:cs="Arial" w:hAnsi="Times New Roman"/>
          <w:i w:val="false"/>
          <w:iCs w:val="false"/>
          <w:color w:val="00000A"/>
          <w:sz w:val="24"/>
          <w:szCs w:val="24"/>
        </w:rPr>
        <w:t>Programa de Trabalho: 171460;</w:t>
      </w:r>
    </w:p>
    <w:p>
      <w:pPr>
        <w:pStyle w:val="style0"/>
        <w:spacing w:after="0" w:before="0" w:line="276" w:lineRule="auto"/>
        <w:ind w:firstLine="566" w:left="850" w:right="0"/>
        <w:contextualSpacing w:val="false"/>
        <w:jc w:val="both"/>
      </w:pPr>
      <w:r>
        <w:rPr>
          <w:rFonts w:ascii="Times New Roman" w:cs="Arial" w:hAnsi="Times New Roman"/>
          <w:i w:val="false"/>
          <w:iCs w:val="false"/>
          <w:color w:val="00000A"/>
          <w:sz w:val="24"/>
          <w:szCs w:val="24"/>
        </w:rPr>
        <w:t>Elemento de Despesa: 339039;</w:t>
      </w:r>
    </w:p>
    <w:p>
      <w:pPr>
        <w:pStyle w:val="style0"/>
        <w:spacing w:after="0" w:before="0" w:line="276" w:lineRule="auto"/>
        <w:ind w:firstLine="566" w:left="850" w:right="0"/>
        <w:contextualSpacing w:val="false"/>
        <w:jc w:val="both"/>
      </w:pPr>
      <w:r>
        <w:rPr>
          <w:rFonts w:ascii="Times New Roman" w:cs="Arial" w:hAnsi="Times New Roman"/>
          <w:i w:val="false"/>
          <w:iCs w:val="false"/>
          <w:color w:val="00000A"/>
          <w:sz w:val="24"/>
          <w:szCs w:val="24"/>
        </w:rPr>
        <w:t>Plano Interno: I3DAFUNADOM;</w:t>
      </w:r>
    </w:p>
    <w:p>
      <w:pPr>
        <w:pStyle w:val="style0"/>
        <w:spacing w:after="0" w:before="0" w:line="276" w:lineRule="auto"/>
        <w:contextualSpacing w:val="false"/>
        <w:jc w:val="both"/>
      </w:pPr>
      <w:r>
        <w:rPr/>
      </w:r>
    </w:p>
    <w:p>
      <w:pPr>
        <w:pStyle w:val="style59"/>
        <w:spacing w:after="0" w:before="0" w:line="276" w:lineRule="auto"/>
        <w:ind w:hanging="0" w:left="0" w:right="0"/>
        <w:contextualSpacing/>
        <w:jc w:val="both"/>
      </w:pPr>
      <w:r>
        <w:rPr>
          <w:rFonts w:ascii="Times New Roman" w:cs="Arial" w:hAnsi="Times New Roman"/>
          <w:i w:val="false"/>
          <w:iCs w:val="false"/>
          <w:color w:val="00000A"/>
          <w:sz w:val="24"/>
          <w:szCs w:val="24"/>
        </w:rPr>
        <w:t>10.3 A dotação relativa aos exercícios financeiros subsequentes será indicada após aprovação da Lei Orçamentária respectiva e liberação dos créditos correspondentes, mediante apostilamento.</w:t>
      </w:r>
    </w:p>
    <w:p>
      <w:pPr>
        <w:pStyle w:val="style59"/>
        <w:spacing w:after="0" w:before="0" w:line="276" w:lineRule="auto"/>
        <w:contextualSpacing/>
        <w:jc w:val="both"/>
      </w:pPr>
      <w:r>
        <w:rPr/>
      </w:r>
    </w:p>
    <w:p>
      <w:pPr>
        <w:pStyle w:val="style0"/>
        <w:spacing w:after="0" w:before="28" w:line="276" w:lineRule="auto"/>
        <w:contextualSpacing w:val="false"/>
        <w:jc w:val="center"/>
      </w:pPr>
      <w:r>
        <w:rPr>
          <w:rFonts w:ascii="Times New Roman" w:cs="Times New Roman" w:eastAsia="Times New Roman" w:hAnsi="Times New Roman"/>
          <w:color w:val="00000A"/>
          <w:sz w:val="24"/>
          <w:szCs w:val="24"/>
          <w:lang w:eastAsia="pt-BR"/>
        </w:rPr>
        <w:t xml:space="preserve">São Gabriel da Cachoeira - AM, </w:t>
      </w:r>
      <w:r>
        <w:rPr>
          <w:rFonts w:ascii="Times New Roman" w:cs="Times New Roman" w:eastAsia="Times New Roman" w:hAnsi="Times New Roman"/>
          <w:color w:val="00000A"/>
          <w:sz w:val="24"/>
          <w:szCs w:val="24"/>
          <w:lang w:eastAsia="pt-BR"/>
        </w:rPr>
        <w:t>30</w:t>
      </w:r>
      <w:r>
        <w:rPr>
          <w:rFonts w:ascii="Times New Roman" w:cs="Times New Roman" w:eastAsia="Times New Roman" w:hAnsi="Times New Roman"/>
          <w:color w:val="00000A"/>
          <w:sz w:val="24"/>
          <w:szCs w:val="24"/>
          <w:lang w:eastAsia="pt-BR"/>
        </w:rPr>
        <w:t xml:space="preserve"> de janeiro de 2023.</w:t>
      </w:r>
    </w:p>
    <w:p>
      <w:pPr>
        <w:pStyle w:val="style0"/>
        <w:spacing w:after="0" w:before="28" w:line="276" w:lineRule="auto"/>
        <w:contextualSpacing w:val="false"/>
        <w:jc w:val="center"/>
      </w:pPr>
      <w:r>
        <w:rPr/>
      </w:r>
    </w:p>
    <w:p>
      <w:pPr>
        <w:pStyle w:val="style0"/>
        <w:spacing w:after="0" w:before="28" w:line="276" w:lineRule="auto"/>
        <w:contextualSpacing w:val="false"/>
        <w:jc w:val="center"/>
      </w:pPr>
      <w:r>
        <w:rPr/>
      </w:r>
    </w:p>
    <w:p>
      <w:pPr>
        <w:pStyle w:val="style0"/>
        <w:spacing w:after="0" w:before="28" w:line="276" w:lineRule="auto"/>
        <w:contextualSpacing w:val="false"/>
        <w:jc w:val="center"/>
      </w:pPr>
      <w:r>
        <w:rPr/>
      </w:r>
    </w:p>
    <w:p>
      <w:pPr>
        <w:pStyle w:val="style0"/>
        <w:jc w:val="center"/>
      </w:pPr>
      <w:r>
        <w:rPr/>
      </w:r>
    </w:p>
    <w:p>
      <w:pPr>
        <w:pStyle w:val="style53"/>
        <w:tabs>
          <w:tab w:leader="none" w:pos="426" w:val="left"/>
        </w:tabs>
        <w:spacing w:after="0" w:before="0" w:line="100" w:lineRule="atLeast"/>
        <w:contextualSpacing w:val="false"/>
        <w:jc w:val="center"/>
      </w:pPr>
      <w:r>
        <w:rPr>
          <w:rFonts w:ascii="Times New Roman" w:cs="Times New Roman" w:hAnsi="Times New Roman"/>
          <w:b/>
          <w:bCs/>
          <w:color w:val="000000"/>
          <w:sz w:val="24"/>
          <w:szCs w:val="24"/>
        </w:rPr>
        <w:t>KLEBER YAÑES DO NASCIMENTO – TC</w:t>
      </w:r>
    </w:p>
    <w:p>
      <w:pPr>
        <w:pStyle w:val="style53"/>
        <w:spacing w:after="0" w:before="28" w:line="276" w:lineRule="auto"/>
        <w:ind w:hanging="0" w:left="0" w:right="0"/>
        <w:contextualSpacing w:val="false"/>
        <w:jc w:val="center"/>
      </w:pPr>
      <w:r>
        <w:rPr>
          <w:rStyle w:val="style47"/>
          <w:rFonts w:ascii="Times New Roman" w:cs="Times New Roman" w:hAnsi="Times New Roman"/>
          <w:b w:val="false"/>
          <w:bCs w:val="false"/>
          <w:i w:val="false"/>
          <w:iCs w:val="false"/>
          <w:color w:val="000000"/>
          <w:sz w:val="24"/>
          <w:szCs w:val="24"/>
        </w:rPr>
        <w:t>Resp Ordenador de Despesas da 2ª Brigada de Infantaria de Selva</w:t>
      </w:r>
    </w:p>
    <w:sectPr>
      <w:footerReference r:id="rId6" w:type="default"/>
      <w:type w:val="nextPage"/>
      <w:pgSz w:h="16838" w:w="11906"/>
      <w:pgMar w:bottom="1134" w:footer="708" w:gutter="0" w:header="0" w:left="1701" w:right="1134" w:top="1701"/>
      <w:pgNumType w:fmt="decimal"/>
      <w:formProt w:val="false"/>
      <w:textDirection w:val="lrTb"/>
      <w:docGrid w:charSpace="0" w:linePitch="360" w:type="default"/>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yle77"/>
    </w:pPr>
    <w:r>
      <w:rPr>
        <w:sz w:val="12"/>
        <w:szCs w:val="12"/>
      </w:rPr>
      <w:t>Termo de Referência – Serviços – Lei nº 14.133/21 – Contratação Direta</w:t>
    </w:r>
  </w:p>
  <w:p>
    <w:pPr>
      <w:pStyle w:val="style77"/>
    </w:pPr>
    <w:r>
      <w:rPr>
        <w:sz w:val="12"/>
        <w:szCs w:val="12"/>
      </w:rPr>
      <w:t>Atualização: Junho/2022</w:t>
    </w:r>
  </w:p>
</w:ftr>
</file>

<file path=word/numbering.xml><?xml version="1.0" encoding="utf-8"?>
<w:numbering xmlns:w="http://schemas.openxmlformats.org/wordprocessingml/2006/main">
  <w:abstractNum w:abstractNumId="1">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2">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num w:numId="1">
    <w:abstractNumId w:val="1"/>
  </w:num>
  <w:num w:numId="2">
    <w:abstractNumId w:val="2"/>
  </w:num>
</w:numbering>
</file>

<file path=word/settings.xml><?xml version="1.0" encoding="utf-8"?>
<w:settings xmlns:w="http://schemas.openxmlformats.org/wordprocessingml/2006/main">
  <w:zoom w:percent="83"/>
</w:settings>
</file>

<file path=word/styles.xml><?xml version="1.0" encoding="utf-8"?>
<w:styles xmlns:w="http://schemas.openxmlformats.org/wordprocessingml/2006/main">
  <w:style w:styleId="style0" w:type="paragraph">
    <w:name w:val="Padrão"/>
    <w:next w:val="style0"/>
    <w:pPr>
      <w:widowControl/>
      <w:tabs/>
      <w:suppressAutoHyphens w:val="true"/>
      <w:spacing w:after="0" w:before="0" w:line="100" w:lineRule="atLeast"/>
      <w:contextualSpacing w:val="false"/>
    </w:pPr>
    <w:rPr>
      <w:rFonts w:ascii="Liberation Serif" w:cs="Lucida Sans" w:eastAsia="NSimSun" w:hAnsi="Liberation Serif"/>
      <w:color w:val="00000A"/>
      <w:sz w:val="24"/>
      <w:szCs w:val="24"/>
      <w:lang w:bidi="hi-IN" w:eastAsia="zh-CN" w:val="pt-BR"/>
    </w:rPr>
  </w:style>
  <w:style w:styleId="style1" w:type="paragraph">
    <w:name w:val="Título 1"/>
    <w:basedOn w:val="style0"/>
    <w:next w:val="style53"/>
    <w:pPr>
      <w:keepNext/>
      <w:keepLines/>
      <w:numPr>
        <w:ilvl w:val="0"/>
        <w:numId w:val="1"/>
      </w:numPr>
      <w:spacing w:after="0" w:before="240"/>
      <w:contextualSpacing w:val="false"/>
      <w:outlineLvl w:val="0"/>
    </w:pPr>
    <w:rPr>
      <w:rFonts w:ascii="Calibri Light" w:cs="" w:hAnsi="Calibri Light"/>
      <w:b/>
      <w:bCs/>
      <w:color w:val="2F5496"/>
      <w:sz w:val="32"/>
      <w:szCs w:val="32"/>
    </w:rPr>
  </w:style>
  <w:style w:styleId="style3" w:type="paragraph">
    <w:name w:val="Título 3"/>
    <w:basedOn w:val="style0"/>
    <w:next w:val="style53"/>
    <w:pPr>
      <w:keepNext/>
      <w:keepLines/>
      <w:numPr>
        <w:ilvl w:val="2"/>
        <w:numId w:val="1"/>
      </w:numPr>
      <w:spacing w:after="0" w:before="40"/>
      <w:contextualSpacing w:val="false"/>
      <w:outlineLvl w:val="2"/>
    </w:pPr>
    <w:rPr>
      <w:rFonts w:ascii="Calibri Light" w:cs="" w:hAnsi="Calibri Light"/>
      <w:b/>
      <w:bCs/>
      <w:color w:val="1F3763"/>
      <w:sz w:val="24"/>
      <w:szCs w:val="24"/>
    </w:rPr>
  </w:style>
  <w:style w:styleId="style6" w:type="paragraph">
    <w:name w:val="Título 6"/>
    <w:basedOn w:val="style0"/>
    <w:next w:val="style53"/>
    <w:pPr>
      <w:keepNext/>
      <w:keepLines/>
      <w:numPr>
        <w:ilvl w:val="5"/>
        <w:numId w:val="1"/>
      </w:numPr>
      <w:spacing w:after="0" w:before="40"/>
      <w:contextualSpacing w:val="false"/>
      <w:outlineLvl w:val="5"/>
    </w:pPr>
    <w:rPr>
      <w:rFonts w:ascii="Calibri Light" w:cs="" w:hAnsi="Calibri Light"/>
      <w:b/>
      <w:bCs/>
      <w:color w:val="1F3763"/>
      <w:sz w:val="18"/>
      <w:szCs w:val="18"/>
    </w:rPr>
  </w:style>
  <w:style w:styleId="style15" w:type="character">
    <w:name w:val="Default Paragraph Font"/>
    <w:next w:val="style15"/>
    <w:rPr/>
  </w:style>
  <w:style w:styleId="style16" w:type="character">
    <w:name w:val="Link da Internet"/>
    <w:next w:val="style16"/>
    <w:rPr>
      <w:color w:val="000080"/>
      <w:u w:val="single"/>
      <w:lang w:bidi="pt-BR" w:eastAsia="pt-BR" w:val="pt-BR"/>
    </w:rPr>
  </w:style>
  <w:style w:styleId="style17" w:type="character">
    <w:name w:val="Citação Char"/>
    <w:basedOn w:val="style15"/>
    <w:next w:val="style17"/>
    <w:rPr>
      <w:rFonts w:ascii="Arial" w:cs="Tahoma" w:eastAsia="Calibri" w:hAnsi="Arial"/>
      <w:i/>
      <w:iCs/>
      <w:color w:val="000000"/>
      <w:sz w:val="20"/>
      <w:szCs w:val="24"/>
      <w:shd w:fill="FFFFCC" w:val="clear"/>
    </w:rPr>
  </w:style>
  <w:style w:styleId="style18" w:type="character">
    <w:name w:val="Nivel1 Char"/>
    <w:basedOn w:val="style15"/>
    <w:next w:val="style18"/>
    <w:rPr>
      <w:rFonts w:ascii="Arial" w:cs="" w:hAnsi="Arial"/>
      <w:b/>
      <w:color w:val="000000"/>
      <w:sz w:val="32"/>
      <w:szCs w:val="32"/>
    </w:rPr>
  </w:style>
  <w:style w:styleId="style19" w:type="character">
    <w:name w:val="Título 1 Char"/>
    <w:basedOn w:val="style15"/>
    <w:next w:val="style19"/>
    <w:rPr>
      <w:rFonts w:ascii="Calibri Light" w:cs="" w:hAnsi="Calibri Light"/>
      <w:color w:val="2F5496"/>
      <w:sz w:val="32"/>
      <w:szCs w:val="32"/>
    </w:rPr>
  </w:style>
  <w:style w:styleId="style20" w:type="character">
    <w:name w:val="normal__char1"/>
    <w:next w:val="style20"/>
    <w:rPr>
      <w:rFonts w:ascii="Arial" w:cs="Arial" w:hAnsi="Arial"/>
      <w:strike w:val="false"/>
      <w:dstrike w:val="false"/>
      <w:sz w:val="24"/>
      <w:szCs w:val="24"/>
      <w:u w:val="none"/>
      <w:effect w:val="none"/>
    </w:rPr>
  </w:style>
  <w:style w:styleId="style21" w:type="character">
    <w:name w:val="Ênfase forte"/>
    <w:basedOn w:val="style15"/>
    <w:next w:val="style21"/>
    <w:rPr>
      <w:b/>
      <w:bCs/>
    </w:rPr>
  </w:style>
  <w:style w:styleId="style22" w:type="character">
    <w:name w:val="Menção Pendente1"/>
    <w:basedOn w:val="style15"/>
    <w:next w:val="style22"/>
    <w:rPr>
      <w:color w:val="605E5C"/>
      <w:shd w:fill="E1DFDD" w:val="clear"/>
    </w:rPr>
  </w:style>
  <w:style w:styleId="style23" w:type="character">
    <w:name w:val="annotation reference"/>
    <w:basedOn w:val="style15"/>
    <w:next w:val="style23"/>
    <w:rPr>
      <w:sz w:val="16"/>
      <w:szCs w:val="16"/>
    </w:rPr>
  </w:style>
  <w:style w:styleId="style24" w:type="character">
    <w:name w:val="Texto de comentário Char"/>
    <w:basedOn w:val="style15"/>
    <w:next w:val="style24"/>
    <w:rPr>
      <w:sz w:val="20"/>
      <w:szCs w:val="20"/>
    </w:rPr>
  </w:style>
  <w:style w:styleId="style25" w:type="character">
    <w:name w:val="Assunto do comentário Char"/>
    <w:basedOn w:val="style24"/>
    <w:next w:val="style25"/>
    <w:rPr>
      <w:b/>
      <w:bCs/>
      <w:sz w:val="20"/>
      <w:szCs w:val="20"/>
    </w:rPr>
  </w:style>
  <w:style w:styleId="style26" w:type="character">
    <w:name w:val="Título 6 Char"/>
    <w:basedOn w:val="style15"/>
    <w:next w:val="style26"/>
    <w:rPr>
      <w:rFonts w:ascii="Calibri Light" w:cs="" w:hAnsi="Calibri Light"/>
      <w:color w:val="1F3763"/>
    </w:rPr>
  </w:style>
  <w:style w:styleId="style27" w:type="character">
    <w:name w:val="FollowedHyperlink"/>
    <w:basedOn w:val="style15"/>
    <w:next w:val="style27"/>
    <w:rPr>
      <w:color w:val="954F72"/>
      <w:u w:val="single"/>
    </w:rPr>
  </w:style>
  <w:style w:styleId="style28" w:type="character">
    <w:name w:val="Quote Char"/>
    <w:next w:val="style28"/>
    <w:rPr>
      <w:rFonts w:ascii="Ecofont_Spranq_eco_Sans" w:cs="Ecofont_Spranq_eco_Sans" w:hAnsi="Ecofont_Spranq_eco_Sans"/>
      <w:i/>
      <w:iCs/>
      <w:color w:val="000000"/>
      <w:sz w:val="24"/>
      <w:szCs w:val="24"/>
      <w:shd w:fill="FFFFCC" w:val="clear"/>
    </w:rPr>
  </w:style>
  <w:style w:styleId="style29" w:type="character">
    <w:name w:val="markedcontent"/>
    <w:basedOn w:val="style15"/>
    <w:next w:val="style29"/>
    <w:rPr/>
  </w:style>
  <w:style w:styleId="style30" w:type="character">
    <w:name w:val="highlight"/>
    <w:basedOn w:val="style15"/>
    <w:next w:val="style30"/>
    <w:rPr/>
  </w:style>
  <w:style w:styleId="style31" w:type="character">
    <w:name w:val="Texto de balão Char"/>
    <w:basedOn w:val="style15"/>
    <w:next w:val="style31"/>
    <w:rPr>
      <w:rFonts w:ascii="Segoe UI" w:cs="Segoe UI" w:hAnsi="Segoe UI"/>
      <w:sz w:val="18"/>
      <w:szCs w:val="18"/>
    </w:rPr>
  </w:style>
  <w:style w:styleId="style32" w:type="character">
    <w:name w:val="Menção Pendente2"/>
    <w:basedOn w:val="style15"/>
    <w:next w:val="style32"/>
    <w:rPr>
      <w:color w:val="605E5C"/>
      <w:shd w:fill="E1DFDD" w:val="clear"/>
    </w:rPr>
  </w:style>
  <w:style w:styleId="style33" w:type="character">
    <w:name w:val="Nivel 2 Char"/>
    <w:basedOn w:val="style15"/>
    <w:next w:val="style33"/>
    <w:rPr>
      <w:rFonts w:ascii="Arial" w:cs="Arial" w:hAnsi="Arial"/>
      <w:color w:val="000000"/>
    </w:rPr>
  </w:style>
  <w:style w:styleId="style34" w:type="character">
    <w:name w:val="citação 2 Char"/>
    <w:basedOn w:val="style17"/>
    <w:next w:val="style34"/>
    <w:rPr>
      <w:rFonts w:ascii="Arial" w:cs="Tahoma" w:eastAsia="Calibri" w:hAnsi="Arial"/>
      <w:i/>
      <w:iCs/>
      <w:color w:val="000000"/>
      <w:sz w:val="20"/>
      <w:szCs w:val="20"/>
      <w:shd w:fill="FFFFCC" w:val="clear"/>
      <w:lang w:bidi="hi-IN" w:eastAsia="zh-CN"/>
    </w:rPr>
  </w:style>
  <w:style w:styleId="style35" w:type="character">
    <w:name w:val="Cabeçalho Char"/>
    <w:basedOn w:val="style15"/>
    <w:next w:val="style35"/>
    <w:rPr/>
  </w:style>
  <w:style w:styleId="style36" w:type="character">
    <w:name w:val="Rodapé Char"/>
    <w:basedOn w:val="style15"/>
    <w:next w:val="style36"/>
    <w:rPr/>
  </w:style>
  <w:style w:styleId="style37" w:type="character">
    <w:name w:val="Menção Pendente3"/>
    <w:basedOn w:val="style15"/>
    <w:next w:val="style37"/>
    <w:rPr>
      <w:color w:val="605E5C"/>
      <w:shd w:fill="E1DFDD" w:val="clear"/>
    </w:rPr>
  </w:style>
  <w:style w:styleId="style38" w:type="character">
    <w:name w:val="Título 3 Char"/>
    <w:basedOn w:val="style15"/>
    <w:next w:val="style38"/>
    <w:rPr>
      <w:rFonts w:ascii="Calibri Light" w:cs="" w:hAnsi="Calibri Light"/>
      <w:color w:val="1F3763"/>
      <w:sz w:val="24"/>
      <w:szCs w:val="24"/>
    </w:rPr>
  </w:style>
  <w:style w:styleId="style39" w:type="character">
    <w:name w:val="Menção Pendente4"/>
    <w:basedOn w:val="style15"/>
    <w:next w:val="style39"/>
    <w:rPr>
      <w:color w:val="605E5C"/>
      <w:shd w:fill="E1DFDD" w:val="clear"/>
    </w:rPr>
  </w:style>
  <w:style w:styleId="style40" w:type="character">
    <w:name w:val="Nível 2 Opcional Char"/>
    <w:basedOn w:val="style15"/>
    <w:next w:val="style40"/>
    <w:rPr>
      <w:rFonts w:ascii="Arial" w:cs="Arial" w:eastAsia="Times New Roman" w:hAnsi="Arial"/>
      <w:i/>
      <w:color w:val="FF0000"/>
      <w:sz w:val="20"/>
      <w:szCs w:val="20"/>
      <w:lang w:eastAsia="pt-BR"/>
    </w:rPr>
  </w:style>
  <w:style w:styleId="style41" w:type="character">
    <w:name w:val="ListLabel 1"/>
    <w:next w:val="style41"/>
    <w:rPr>
      <w:b/>
      <w:color w:val="00000A"/>
    </w:rPr>
  </w:style>
  <w:style w:styleId="style42" w:type="character">
    <w:name w:val="ListLabel 2"/>
    <w:next w:val="style42"/>
    <w:rPr>
      <w:b w:val="false"/>
      <w:i w:val="false"/>
      <w:strike w:val="false"/>
      <w:dstrike w:val="false"/>
      <w:color w:val="00000A"/>
      <w:u w:val="none"/>
      <w:effect w:val="none"/>
    </w:rPr>
  </w:style>
  <w:style w:styleId="style43" w:type="character">
    <w:name w:val="ListLabel 3"/>
    <w:next w:val="style43"/>
    <w:rPr>
      <w:b w:val="false"/>
      <w:i w:val="false"/>
      <w:color w:val="00000A"/>
      <w:sz w:val="20"/>
      <w:szCs w:val="20"/>
    </w:rPr>
  </w:style>
  <w:style w:styleId="style44" w:type="character">
    <w:name w:val="ListLabel 4"/>
    <w:next w:val="style44"/>
    <w:rPr>
      <w:b/>
      <w:bCs/>
    </w:rPr>
  </w:style>
  <w:style w:styleId="style45" w:type="character">
    <w:name w:val="ListLabel 5"/>
    <w:next w:val="style45"/>
    <w:rPr>
      <w:b w:val="false"/>
      <w:i w:val="false"/>
      <w:color w:val="FF0000"/>
    </w:rPr>
  </w:style>
  <w:style w:styleId="style46" w:type="character">
    <w:name w:val="ListLabel 6"/>
    <w:next w:val="style46"/>
    <w:rPr>
      <w:b w:val="false"/>
      <w:i w:val="false"/>
      <w:color w:val="00000A"/>
    </w:rPr>
  </w:style>
  <w:style w:styleId="style47" w:type="character">
    <w:name w:val="Fonte parág. padrão1"/>
    <w:next w:val="style47"/>
    <w:rPr/>
  </w:style>
  <w:style w:styleId="style48" w:type="character">
    <w:name w:val="ListLabel 7"/>
    <w:next w:val="style48"/>
    <w:rPr>
      <w:b/>
      <w:color w:val="00000A"/>
    </w:rPr>
  </w:style>
  <w:style w:styleId="style49" w:type="character">
    <w:name w:val="ListLabel 8"/>
    <w:next w:val="style49"/>
    <w:rPr>
      <w:b w:val="false"/>
      <w:i w:val="false"/>
      <w:strike w:val="false"/>
      <w:dstrike w:val="false"/>
      <w:color w:val="00000A"/>
      <w:u w:val="none"/>
      <w:effect w:val="none"/>
    </w:rPr>
  </w:style>
  <w:style w:styleId="style50" w:type="character">
    <w:name w:val="ListLabel 9"/>
    <w:next w:val="style50"/>
    <w:rPr>
      <w:b w:val="false"/>
      <w:i w:val="false"/>
      <w:color w:val="00000A"/>
      <w:sz w:val="20"/>
      <w:szCs w:val="20"/>
    </w:rPr>
  </w:style>
  <w:style w:styleId="style51" w:type="character">
    <w:name w:val="ListLabel 10"/>
    <w:next w:val="style51"/>
    <w:rPr>
      <w:b w:val="false"/>
      <w:i w:val="false"/>
      <w:color w:val="00000A"/>
    </w:rPr>
  </w:style>
  <w:style w:styleId="style52" w:type="paragraph">
    <w:name w:val="Título"/>
    <w:basedOn w:val="style0"/>
    <w:next w:val="style53"/>
    <w:pPr>
      <w:keepNext/>
      <w:spacing w:after="120" w:before="240"/>
      <w:contextualSpacing w:val="false"/>
    </w:pPr>
    <w:rPr>
      <w:rFonts w:ascii="Arial" w:cs="Lucida Sans" w:eastAsia="Microsoft YaHei" w:hAnsi="Arial"/>
      <w:sz w:val="28"/>
      <w:szCs w:val="28"/>
    </w:rPr>
  </w:style>
  <w:style w:styleId="style53" w:type="paragraph">
    <w:name w:val="Corpo de texto"/>
    <w:basedOn w:val="style0"/>
    <w:next w:val="style53"/>
    <w:pPr>
      <w:spacing w:after="140" w:before="0" w:line="276" w:lineRule="auto"/>
      <w:contextualSpacing w:val="false"/>
    </w:pPr>
    <w:rPr/>
  </w:style>
  <w:style w:styleId="style54" w:type="paragraph">
    <w:name w:val="Lista"/>
    <w:basedOn w:val="style53"/>
    <w:next w:val="style54"/>
    <w:pPr/>
    <w:rPr>
      <w:rFonts w:cs="Lucida Sans"/>
    </w:rPr>
  </w:style>
  <w:style w:styleId="style55" w:type="paragraph">
    <w:name w:val="Legenda"/>
    <w:basedOn w:val="style0"/>
    <w:next w:val="style55"/>
    <w:pPr>
      <w:suppressLineNumbers/>
      <w:spacing w:after="120" w:before="120"/>
      <w:contextualSpacing w:val="false"/>
    </w:pPr>
    <w:rPr>
      <w:rFonts w:cs="Lucida Sans"/>
      <w:i/>
      <w:iCs/>
      <w:sz w:val="24"/>
      <w:szCs w:val="24"/>
    </w:rPr>
  </w:style>
  <w:style w:styleId="style56" w:type="paragraph">
    <w:name w:val="Índice"/>
    <w:basedOn w:val="style0"/>
    <w:next w:val="style56"/>
    <w:pPr>
      <w:suppressLineNumbers/>
    </w:pPr>
    <w:rPr>
      <w:rFonts w:cs="Lucida Sans"/>
    </w:rPr>
  </w:style>
  <w:style w:styleId="style57" w:type="paragraph">
    <w:name w:val="Quote"/>
    <w:basedOn w:val="style0"/>
    <w:next w:val="style57"/>
    <w:pPr>
      <w:pBdr>
        <w:top w:color="1F497D" w:space="0" w:sz="4" w:val="single"/>
        <w:left w:color="1F497D" w:space="0" w:sz="4" w:val="single"/>
        <w:bottom w:color="1F497D" w:space="0" w:sz="4" w:val="single"/>
        <w:right w:color="1F497D" w:space="0" w:sz="4" w:val="single"/>
      </w:pBdr>
      <w:shd w:fill="FFFFCC" w:val="clear"/>
      <w:spacing w:after="0" w:before="120" w:line="100" w:lineRule="atLeast"/>
      <w:contextualSpacing w:val="false"/>
      <w:jc w:val="both"/>
    </w:pPr>
    <w:rPr>
      <w:rFonts w:ascii="Arial" w:cs="Tahoma" w:eastAsia="Calibri" w:hAnsi="Arial"/>
      <w:i/>
      <w:iCs/>
      <w:color w:val="000000"/>
      <w:sz w:val="20"/>
      <w:szCs w:val="24"/>
    </w:rPr>
  </w:style>
  <w:style w:styleId="style58" w:type="paragraph">
    <w:name w:val="Nivel1"/>
    <w:basedOn w:val="style1"/>
    <w:next w:val="style58"/>
    <w:pPr>
      <w:spacing w:after="120" w:before="480" w:line="276" w:lineRule="auto"/>
      <w:ind w:hanging="0" w:left="0" w:right="0"/>
      <w:contextualSpacing w:val="false"/>
      <w:jc w:val="both"/>
      <w:outlineLvl w:val="9"/>
    </w:pPr>
    <w:rPr>
      <w:rFonts w:ascii="Arial" w:cs="Arial" w:hAnsi="Arial"/>
      <w:b/>
      <w:color w:val="000000"/>
    </w:rPr>
  </w:style>
  <w:style w:styleId="style59" w:type="paragraph">
    <w:name w:val="List Paragraph"/>
    <w:basedOn w:val="style0"/>
    <w:next w:val="style59"/>
    <w:pPr>
      <w:spacing w:after="160" w:before="0"/>
      <w:ind w:hanging="0" w:left="720" w:right="0"/>
      <w:contextualSpacing/>
    </w:pPr>
    <w:rPr/>
  </w:style>
  <w:style w:styleId="style60" w:type="paragraph">
    <w:name w:val="Normal (Web)"/>
    <w:basedOn w:val="style0"/>
    <w:next w:val="style60"/>
    <w:pPr>
      <w:spacing w:after="28" w:before="28" w:line="100" w:lineRule="atLeast"/>
      <w:contextualSpacing w:val="false"/>
    </w:pPr>
    <w:rPr>
      <w:rFonts w:ascii="Times New Roman" w:cs="Times New Roman" w:eastAsia="Times New Roman" w:hAnsi="Times New Roman"/>
      <w:sz w:val="24"/>
      <w:szCs w:val="24"/>
      <w:lang w:eastAsia="pt-BR"/>
    </w:rPr>
  </w:style>
  <w:style w:styleId="style61" w:type="paragraph">
    <w:name w:val="Sombreamento Médio 1 - Ênfase 31"/>
    <w:basedOn w:val="style0"/>
    <w:next w:val="style61"/>
    <w:pPr>
      <w:pBdr>
        <w:top w:color="000080" w:space="0" w:sz="4" w:val="single"/>
        <w:left w:color="000080" w:space="0" w:sz="4" w:val="single"/>
        <w:bottom w:color="000080" w:space="0" w:sz="4" w:val="single"/>
        <w:right w:color="000080" w:space="0" w:sz="4" w:val="single"/>
      </w:pBdr>
      <w:shd w:fill="FFFFCC" w:val="clear"/>
      <w:suppressAutoHyphens w:val="true"/>
      <w:spacing w:after="0" w:before="120" w:line="100" w:lineRule="atLeast"/>
      <w:contextualSpacing w:val="false"/>
      <w:jc w:val="both"/>
    </w:pPr>
    <w:rPr>
      <w:rFonts w:ascii="Ecofont_Spranq_eco_Sans" w:cs="Tahoma" w:eastAsia="Calibri" w:hAnsi="Ecofont_Spranq_eco_Sans"/>
      <w:i/>
      <w:iCs/>
      <w:color w:val="000000"/>
      <w:sz w:val="20"/>
      <w:szCs w:val="24"/>
      <w:lang w:eastAsia="zh-CN"/>
    </w:rPr>
  </w:style>
  <w:style w:styleId="style62" w:type="paragraph">
    <w:name w:val="corpo"/>
    <w:basedOn w:val="style0"/>
    <w:next w:val="style62"/>
    <w:pPr>
      <w:spacing w:after="28" w:before="28" w:line="100" w:lineRule="atLeast"/>
      <w:contextualSpacing w:val="false"/>
    </w:pPr>
    <w:rPr>
      <w:rFonts w:ascii="Times New Roman" w:cs="Times New Roman" w:eastAsia="Times New Roman" w:hAnsi="Times New Roman"/>
      <w:sz w:val="24"/>
      <w:szCs w:val="24"/>
      <w:lang w:eastAsia="pt-BR"/>
    </w:rPr>
  </w:style>
  <w:style w:styleId="style63" w:type="paragraph">
    <w:name w:val="annotation text"/>
    <w:basedOn w:val="style0"/>
    <w:next w:val="style63"/>
    <w:pPr>
      <w:spacing w:line="100" w:lineRule="atLeast"/>
    </w:pPr>
    <w:rPr>
      <w:sz w:val="20"/>
      <w:szCs w:val="20"/>
    </w:rPr>
  </w:style>
  <w:style w:styleId="style64" w:type="paragraph">
    <w:name w:val="annotation subject"/>
    <w:basedOn w:val="style63"/>
    <w:next w:val="style64"/>
    <w:pPr/>
    <w:rPr>
      <w:b/>
      <w:bCs/>
    </w:rPr>
  </w:style>
  <w:style w:styleId="style65" w:type="paragraph">
    <w:name w:val="item_nivel2"/>
    <w:basedOn w:val="style0"/>
    <w:next w:val="style65"/>
    <w:pPr>
      <w:spacing w:after="28" w:before="28" w:line="100" w:lineRule="atLeast"/>
      <w:contextualSpacing w:val="false"/>
    </w:pPr>
    <w:rPr>
      <w:rFonts w:ascii="Times New Roman" w:cs="Times New Roman" w:eastAsia="Times New Roman" w:hAnsi="Times New Roman"/>
      <w:sz w:val="24"/>
      <w:szCs w:val="24"/>
      <w:lang w:eastAsia="pt-BR"/>
    </w:rPr>
  </w:style>
  <w:style w:styleId="style66" w:type="paragraph">
    <w:name w:val="item_nivel1"/>
    <w:basedOn w:val="style0"/>
    <w:next w:val="style66"/>
    <w:pPr>
      <w:spacing w:after="28" w:before="28" w:line="100" w:lineRule="atLeast"/>
      <w:contextualSpacing w:val="false"/>
    </w:pPr>
    <w:rPr>
      <w:rFonts w:ascii="Times New Roman" w:cs="Times New Roman" w:eastAsia="Times New Roman" w:hAnsi="Times New Roman"/>
      <w:sz w:val="24"/>
      <w:szCs w:val="24"/>
      <w:lang w:eastAsia="pt-BR"/>
    </w:rPr>
  </w:style>
  <w:style w:styleId="style67" w:type="paragraph">
    <w:name w:val="item_alinea_letra"/>
    <w:basedOn w:val="style0"/>
    <w:next w:val="style67"/>
    <w:pPr>
      <w:spacing w:after="28" w:before="28" w:line="100" w:lineRule="atLeast"/>
      <w:contextualSpacing w:val="false"/>
    </w:pPr>
    <w:rPr>
      <w:rFonts w:ascii="Times New Roman" w:cs="Times New Roman" w:eastAsia="Times New Roman" w:hAnsi="Times New Roman"/>
      <w:sz w:val="24"/>
      <w:szCs w:val="24"/>
      <w:lang w:eastAsia="pt-BR"/>
    </w:rPr>
  </w:style>
  <w:style w:styleId="style68" w:type="paragraph">
    <w:name w:val="Citação1"/>
    <w:basedOn w:val="style0"/>
    <w:next w:val="style68"/>
    <w:pPr>
      <w:pBdr>
        <w:top w:color="1F497D" w:space="0" w:sz="4" w:val="single"/>
        <w:left w:color="1F497D" w:space="0" w:sz="4" w:val="single"/>
        <w:bottom w:color="1F497D" w:space="0" w:sz="4" w:val="single"/>
        <w:right w:color="1F497D" w:space="0" w:sz="4" w:val="single"/>
      </w:pBdr>
      <w:shd w:fill="FFFFCC" w:val="clear"/>
      <w:spacing w:after="0" w:before="120" w:line="100" w:lineRule="atLeast"/>
      <w:contextualSpacing w:val="false"/>
      <w:jc w:val="both"/>
    </w:pPr>
    <w:rPr>
      <w:rFonts w:ascii="Ecofont_Spranq_eco_Sans" w:cs="Ecofont_Spranq_eco_Sans" w:hAnsi="Ecofont_Spranq_eco_Sans"/>
      <w:i/>
      <w:iCs/>
      <w:color w:val="000000"/>
      <w:sz w:val="24"/>
      <w:szCs w:val="24"/>
    </w:rPr>
  </w:style>
  <w:style w:styleId="style69" w:type="paragraph">
    <w:name w:val="Balloon Text"/>
    <w:basedOn w:val="style0"/>
    <w:next w:val="style69"/>
    <w:pPr>
      <w:spacing w:after="0" w:before="0" w:line="100" w:lineRule="atLeast"/>
      <w:contextualSpacing w:val="false"/>
    </w:pPr>
    <w:rPr>
      <w:rFonts w:ascii="Segoe UI" w:cs="Segoe UI" w:hAnsi="Segoe UI"/>
      <w:sz w:val="18"/>
      <w:szCs w:val="18"/>
    </w:rPr>
  </w:style>
  <w:style w:styleId="style70" w:type="paragraph">
    <w:name w:val="citação 2"/>
    <w:basedOn w:val="style57"/>
    <w:next w:val="style70"/>
    <w:pPr>
      <w:suppressAutoHyphens w:val="true"/>
    </w:pPr>
    <w:rPr>
      <w:sz w:val="20"/>
      <w:szCs w:val="20"/>
      <w:lang w:bidi="hi-IN" w:eastAsia="zh-CN"/>
    </w:rPr>
  </w:style>
  <w:style w:styleId="style71" w:type="paragraph">
    <w:name w:val="Nivel 2"/>
    <w:basedOn w:val="style0"/>
    <w:next w:val="style71"/>
    <w:pPr>
      <w:spacing w:after="120" w:before="120" w:line="276" w:lineRule="auto"/>
      <w:contextualSpacing w:val="false"/>
      <w:jc w:val="both"/>
    </w:pPr>
    <w:rPr>
      <w:rFonts w:ascii="Arial" w:cs="Arial" w:hAnsi="Arial"/>
      <w:color w:val="000000"/>
    </w:rPr>
  </w:style>
  <w:style w:styleId="style72" w:type="paragraph">
    <w:name w:val="Nivel 3"/>
    <w:basedOn w:val="style59"/>
    <w:next w:val="style72"/>
    <w:pPr>
      <w:tabs>
        <w:tab w:leader="none" w:pos="2910" w:val="left"/>
      </w:tabs>
      <w:spacing w:after="120" w:before="120" w:line="276" w:lineRule="auto"/>
      <w:ind w:hanging="0" w:left="425" w:right="0"/>
      <w:contextualSpacing/>
      <w:jc w:val="both"/>
    </w:pPr>
    <w:rPr>
      <w:rFonts w:ascii="Arial" w:cs="Arial" w:eastAsia="Times New Roman" w:hAnsi="Arial"/>
      <w:sz w:val="20"/>
      <w:szCs w:val="20"/>
      <w:lang w:eastAsia="pt-BR"/>
    </w:rPr>
  </w:style>
  <w:style w:styleId="style73" w:type="paragraph">
    <w:name w:val="Nivel 4"/>
    <w:basedOn w:val="style72"/>
    <w:next w:val="style73"/>
    <w:pPr>
      <w:ind w:hanging="648" w:left="2491" w:right="0"/>
    </w:pPr>
    <w:rPr/>
  </w:style>
  <w:style w:styleId="style74" w:type="paragraph">
    <w:name w:val="Nivel 5"/>
    <w:basedOn w:val="style73"/>
    <w:next w:val="style74"/>
    <w:pPr>
      <w:ind w:hanging="792" w:left="3485" w:right="0"/>
    </w:pPr>
    <w:rPr/>
  </w:style>
  <w:style w:styleId="style75" w:type="paragraph">
    <w:name w:val="PADRÃO"/>
    <w:next w:val="style75"/>
    <w:pPr>
      <w:keepNext/>
      <w:widowControl w:val="false"/>
      <w:shd w:fill="FFFFFF" w:val="clear"/>
      <w:tabs/>
      <w:suppressAutoHyphens w:val="true"/>
      <w:spacing w:after="119" w:before="119" w:line="276" w:lineRule="auto"/>
      <w:ind w:firstLine="567" w:left="0" w:right="0"/>
      <w:contextualSpacing w:val="false"/>
      <w:jc w:val="both"/>
    </w:pPr>
    <w:rPr>
      <w:rFonts w:ascii="Ecofont_Spranq_eco_Sans" w:cs="Lohit Hindi" w:eastAsia="WenQuanYi Micro Hei" w:hAnsi="Ecofont_Spranq_eco_Sans"/>
      <w:color w:val="00000A"/>
      <w:sz w:val="20"/>
      <w:szCs w:val="24"/>
      <w:lang w:bidi="hi-IN" w:eastAsia="zh-CN" w:val="pt-BR"/>
    </w:rPr>
  </w:style>
  <w:style w:styleId="style76" w:type="paragraph">
    <w:name w:val="Cabeçalho"/>
    <w:basedOn w:val="style0"/>
    <w:next w:val="style76"/>
    <w:pPr>
      <w:suppressLineNumbers/>
      <w:tabs>
        <w:tab w:leader="none" w:pos="4252" w:val="center"/>
        <w:tab w:leader="none" w:pos="8504" w:val="right"/>
      </w:tabs>
      <w:spacing w:after="0" w:before="0" w:line="100" w:lineRule="atLeast"/>
      <w:contextualSpacing w:val="false"/>
    </w:pPr>
    <w:rPr/>
  </w:style>
  <w:style w:styleId="style77" w:type="paragraph">
    <w:name w:val="Rodapé"/>
    <w:basedOn w:val="style0"/>
    <w:next w:val="style77"/>
    <w:pPr>
      <w:suppressLineNumbers/>
      <w:tabs>
        <w:tab w:leader="none" w:pos="4252" w:val="center"/>
        <w:tab w:leader="none" w:pos="8504" w:val="right"/>
      </w:tabs>
      <w:spacing w:after="0" w:before="0" w:line="100" w:lineRule="atLeast"/>
      <w:contextualSpacing w:val="false"/>
    </w:pPr>
    <w:rPr/>
  </w:style>
  <w:style w:styleId="style78" w:type="paragraph">
    <w:name w:val="Revision"/>
    <w:next w:val="style78"/>
    <w:pPr>
      <w:widowControl/>
      <w:tabs/>
      <w:suppressAutoHyphens w:val="true"/>
      <w:spacing w:after="0" w:before="0" w:line="100" w:lineRule="atLeast"/>
      <w:contextualSpacing w:val="false"/>
    </w:pPr>
    <w:rPr>
      <w:rFonts w:ascii="Calibri" w:cs="Calibri" w:eastAsia="SimSun" w:hAnsi="Calibri"/>
      <w:color w:val="00000A"/>
      <w:sz w:val="22"/>
      <w:szCs w:val="22"/>
      <w:lang w:bidi="ar-SA" w:eastAsia="en-US" w:val="pt-BR"/>
    </w:rPr>
  </w:style>
  <w:style w:styleId="style79" w:type="paragraph">
    <w:name w:val="Nível 2 Opcional"/>
    <w:basedOn w:val="style0"/>
    <w:next w:val="style79"/>
    <w:pPr>
      <w:spacing w:after="120" w:before="120" w:line="276" w:lineRule="auto"/>
      <w:ind w:hanging="432" w:left="432" w:right="0"/>
      <w:contextualSpacing w:val="false"/>
      <w:jc w:val="both"/>
    </w:pPr>
    <w:rPr>
      <w:rFonts w:ascii="Arial" w:cs="Arial" w:eastAsia="Times New Roman" w:hAnsi="Arial"/>
      <w:i/>
      <w:color w:val="FF0000"/>
      <w:sz w:val="20"/>
      <w:szCs w:val="20"/>
      <w:lang w:eastAsia="pt-BR"/>
    </w:rPr>
  </w:style>
  <w:style w:styleId="style80" w:type="paragraph">
    <w:name w:val="Nível 3 Opcional"/>
    <w:basedOn w:val="style0"/>
    <w:next w:val="style80"/>
    <w:pPr>
      <w:spacing w:after="120" w:before="120" w:line="276" w:lineRule="auto"/>
      <w:ind w:hanging="504" w:left="1072" w:right="0"/>
      <w:contextualSpacing w:val="false"/>
      <w:jc w:val="both"/>
    </w:pPr>
    <w:rPr>
      <w:rFonts w:ascii="Arial" w:cs="Arial" w:eastAsia="Times New Roman" w:hAnsi="Arial"/>
      <w:i/>
      <w:iCs/>
      <w:color w:val="FF0000"/>
      <w:sz w:val="20"/>
      <w:szCs w:val="20"/>
      <w:lang w:eastAsia="pt-B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portaldatransparencia.gov.br/ceis" TargetMode="External"/><Relationship Id="rId4" Type="http://schemas.openxmlformats.org/officeDocument/2006/relationships/hyperlink" Target="https://www.portaltransparencia.gov.br/sancoes/cnep" TargetMode="External"/><Relationship Id="rId5" Type="http://schemas.openxmlformats.org/officeDocument/2006/relationships/hyperlink" Target="http://www.portaldoempreendedor.gov.br/" TargetMode="Externa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0</TotalTime>
  <Application>LibreOffice/3.6$Windows_x86 LibreOffice_project/2ef5aff-a6fb0ff-166bdff-cf087ad-0f1389</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2022-07-14T22:07:00.00Z</dcterms:created>
  <dc:creator>Marcela Ali Tarif</dc:creator>
  <cp:lastModifiedBy>Hugo Sales</cp:lastModifiedBy>
  <cp:lastPrinted>2023-01-30T10:38:57.82Z</cp:lastPrinted>
  <dcterms:modified xsi:type="dcterms:W3CDTF">2022-07-14T22:07:00.00Z</dcterms:modified>
  <cp:revision>2</cp:revision>
</cp:coreProperties>
</file>